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E18F62" w14:textId="062B560E" w:rsidR="00F202C5" w:rsidRDefault="00C90E6C">
      <w:r>
        <w:t>CVEN 5534</w:t>
      </w:r>
      <w:r w:rsidR="002E6591">
        <w:t>, Fall 2011</w:t>
      </w:r>
    </w:p>
    <w:p w14:paraId="1D466BE2" w14:textId="2418136C" w:rsidR="00C90E6C" w:rsidRDefault="002E6591">
      <w:r>
        <w:t>Homework 1</w:t>
      </w:r>
      <w:r w:rsidR="00C90E6C">
        <w:t xml:space="preserve"> Solutions</w:t>
      </w:r>
    </w:p>
    <w:p w14:paraId="31A5894E" w14:textId="77777777" w:rsidR="00C90E6C" w:rsidRDefault="00F813E1" w:rsidP="00C90E6C">
      <w:pPr>
        <w:pStyle w:val="ListParagraph"/>
        <w:numPr>
          <w:ilvl w:val="0"/>
          <w:numId w:val="1"/>
        </w:numPr>
      </w:pPr>
      <w:r>
        <w:t xml:space="preserve">a. </w:t>
      </w:r>
      <w:r w:rsidR="00C90E6C">
        <w:t xml:space="preserve">WWTPs keep record flow data more or less continuously so the average daily influent </w:t>
      </w:r>
      <w:proofErr w:type="gramStart"/>
      <w:r w:rsidR="00C90E6C">
        <w:t>flow</w:t>
      </w:r>
      <w:proofErr w:type="gramEnd"/>
      <w:r w:rsidR="00C90E6C">
        <w:t xml:space="preserve"> (“</w:t>
      </w:r>
      <w:proofErr w:type="spellStart"/>
      <w:r w:rsidR="00C90E6C">
        <w:t>InfAvgFlo</w:t>
      </w:r>
      <w:proofErr w:type="spellEnd"/>
      <w:r w:rsidR="00C90E6C">
        <w:t xml:space="preserve">”) is the average of the flow measurements throughout a given day. The maximum </w:t>
      </w:r>
      <w:r w:rsidR="00C90E6C" w:rsidRPr="00C90E6C">
        <w:rPr>
          <w:u w:val="single"/>
        </w:rPr>
        <w:t>daily</w:t>
      </w:r>
      <w:r w:rsidR="00C90E6C">
        <w:t xml:space="preserve"> flow is the highest daily average value over the period of record, and the average daily flow is the average of all the “</w:t>
      </w:r>
      <w:proofErr w:type="spellStart"/>
      <w:r w:rsidR="00C90E6C">
        <w:t>InfAvgFlo</w:t>
      </w:r>
      <w:proofErr w:type="spellEnd"/>
      <w:r w:rsidR="00C90E6C">
        <w:t xml:space="preserve">” measurements reported.  The maximum month average day (MMAD) is the average daily flow during the month with the highest average daily flow rate.  In general plant capacity is rated in influent flow, not effluent. The reason for this is that plants must be designed to handle influent flow. Effluent flow rates are lower than influent due to losses of water primarily with sludge removal. Average daily flow values are used for almost all secondary process </w:t>
      </w:r>
      <w:proofErr w:type="gramStart"/>
      <w:r w:rsidR="00C90E6C">
        <w:t>unit</w:t>
      </w:r>
      <w:proofErr w:type="gramEnd"/>
      <w:r w:rsidR="00C90E6C">
        <w:t xml:space="preserve"> sizing. Clarifiers are designed to handle peak flows. For the Longmont WWTP data set</w:t>
      </w:r>
    </w:p>
    <w:tbl>
      <w:tblPr>
        <w:tblStyle w:val="TableGrid"/>
        <w:tblW w:w="0" w:type="auto"/>
        <w:jc w:val="center"/>
        <w:tblLook w:val="04A0" w:firstRow="1" w:lastRow="0" w:firstColumn="1" w:lastColumn="0" w:noHBand="0" w:noVBand="1"/>
      </w:tblPr>
      <w:tblGrid>
        <w:gridCol w:w="2538"/>
        <w:gridCol w:w="990"/>
      </w:tblGrid>
      <w:tr w:rsidR="00F813E1" w:rsidRPr="00F813E1" w14:paraId="08B77168" w14:textId="77777777" w:rsidTr="00F813E1">
        <w:trPr>
          <w:jc w:val="center"/>
        </w:trPr>
        <w:tc>
          <w:tcPr>
            <w:tcW w:w="2538" w:type="dxa"/>
          </w:tcPr>
          <w:p w14:paraId="369144C3" w14:textId="77777777" w:rsidR="00F813E1" w:rsidRPr="00F813E1" w:rsidRDefault="00F813E1" w:rsidP="00F813E1">
            <w:pPr>
              <w:jc w:val="center"/>
            </w:pPr>
            <w:r w:rsidRPr="00F813E1">
              <w:t>Parameter</w:t>
            </w:r>
          </w:p>
        </w:tc>
        <w:tc>
          <w:tcPr>
            <w:tcW w:w="990" w:type="dxa"/>
          </w:tcPr>
          <w:p w14:paraId="7E07B4FE" w14:textId="77777777" w:rsidR="00F813E1" w:rsidRPr="00F813E1" w:rsidRDefault="00F813E1" w:rsidP="00F813E1">
            <w:pPr>
              <w:jc w:val="center"/>
            </w:pPr>
            <w:r w:rsidRPr="00F813E1">
              <w:t>MGD</w:t>
            </w:r>
          </w:p>
        </w:tc>
      </w:tr>
      <w:tr w:rsidR="00F813E1" w:rsidRPr="00F813E1" w14:paraId="62A3CD73" w14:textId="77777777" w:rsidTr="00F813E1">
        <w:trPr>
          <w:jc w:val="center"/>
        </w:trPr>
        <w:tc>
          <w:tcPr>
            <w:tcW w:w="2538" w:type="dxa"/>
          </w:tcPr>
          <w:p w14:paraId="00866373" w14:textId="77777777" w:rsidR="00F813E1" w:rsidRPr="00F813E1" w:rsidRDefault="00F813E1" w:rsidP="00F813E1">
            <w:pPr>
              <w:jc w:val="center"/>
            </w:pPr>
            <w:r w:rsidRPr="00F813E1">
              <w:t>Average daily flow</w:t>
            </w:r>
          </w:p>
        </w:tc>
        <w:tc>
          <w:tcPr>
            <w:tcW w:w="990" w:type="dxa"/>
          </w:tcPr>
          <w:p w14:paraId="3EA1DCE3" w14:textId="77777777" w:rsidR="00F813E1" w:rsidRPr="00F813E1" w:rsidRDefault="00F813E1" w:rsidP="00F813E1">
            <w:pPr>
              <w:jc w:val="center"/>
            </w:pPr>
            <w:r w:rsidRPr="00F813E1">
              <w:t>7.</w:t>
            </w:r>
            <w:r w:rsidR="007A5E42">
              <w:t>1</w:t>
            </w:r>
          </w:p>
        </w:tc>
      </w:tr>
      <w:tr w:rsidR="00F813E1" w:rsidRPr="00F813E1" w14:paraId="125190EA" w14:textId="77777777" w:rsidTr="00F813E1">
        <w:trPr>
          <w:jc w:val="center"/>
        </w:trPr>
        <w:tc>
          <w:tcPr>
            <w:tcW w:w="2538" w:type="dxa"/>
          </w:tcPr>
          <w:p w14:paraId="410DAA0A" w14:textId="77777777" w:rsidR="00F813E1" w:rsidRPr="00F813E1" w:rsidRDefault="00F813E1" w:rsidP="00F813E1">
            <w:pPr>
              <w:jc w:val="center"/>
            </w:pPr>
            <w:r w:rsidRPr="00F813E1">
              <w:t>Maximum daily flow</w:t>
            </w:r>
          </w:p>
        </w:tc>
        <w:tc>
          <w:tcPr>
            <w:tcW w:w="990" w:type="dxa"/>
          </w:tcPr>
          <w:p w14:paraId="444125BD" w14:textId="77777777" w:rsidR="00F813E1" w:rsidRPr="00F813E1" w:rsidRDefault="00F813E1" w:rsidP="00F813E1">
            <w:pPr>
              <w:jc w:val="center"/>
            </w:pPr>
            <w:r w:rsidRPr="00F813E1">
              <w:t>9.7</w:t>
            </w:r>
          </w:p>
        </w:tc>
      </w:tr>
      <w:tr w:rsidR="00F813E1" w:rsidRPr="00F813E1" w14:paraId="1B3CAD0A" w14:textId="77777777" w:rsidTr="00F813E1">
        <w:trPr>
          <w:jc w:val="center"/>
        </w:trPr>
        <w:tc>
          <w:tcPr>
            <w:tcW w:w="2538" w:type="dxa"/>
          </w:tcPr>
          <w:p w14:paraId="5E311EE6" w14:textId="77777777" w:rsidR="00F813E1" w:rsidRPr="00F813E1" w:rsidRDefault="00F813E1" w:rsidP="00F813E1">
            <w:pPr>
              <w:jc w:val="center"/>
            </w:pPr>
            <w:r w:rsidRPr="00F813E1">
              <w:t>MMAD (June)</w:t>
            </w:r>
          </w:p>
        </w:tc>
        <w:tc>
          <w:tcPr>
            <w:tcW w:w="990" w:type="dxa"/>
          </w:tcPr>
          <w:p w14:paraId="1D7B38BF" w14:textId="77777777" w:rsidR="00F813E1" w:rsidRPr="00F813E1" w:rsidRDefault="00F813E1" w:rsidP="00F813E1">
            <w:pPr>
              <w:jc w:val="center"/>
            </w:pPr>
            <w:r w:rsidRPr="00F813E1">
              <w:t>7.7</w:t>
            </w:r>
          </w:p>
        </w:tc>
      </w:tr>
    </w:tbl>
    <w:p w14:paraId="01C70E36" w14:textId="77777777" w:rsidR="00F813E1" w:rsidRDefault="00F813E1" w:rsidP="00F813E1">
      <w:pPr>
        <w:spacing w:after="0"/>
      </w:pPr>
    </w:p>
    <w:p w14:paraId="4C78DC39" w14:textId="77777777" w:rsidR="00F813E1" w:rsidRDefault="00F813E1" w:rsidP="007A5E42">
      <w:pPr>
        <w:spacing w:after="0"/>
        <w:ind w:left="720"/>
      </w:pPr>
      <w:r>
        <w:t xml:space="preserve">Comments: The difference between the average and maximum daily flow are an indication of a flow peaking factor with a duration of a day or longer and the MMAD is an indicator of a seasonal peaking factor. The MMAD has been used for secondary process unit sizing with an hourly peak flow also used in clarifier design.  At Longmont, the difference between the MMAD and the average daily flow is about 10%, indicating consistent wastewater flows and probably little infiltration/inflow even </w:t>
      </w:r>
      <w:proofErr w:type="spellStart"/>
      <w:r>
        <w:t>suring</w:t>
      </w:r>
      <w:proofErr w:type="spellEnd"/>
      <w:r>
        <w:t xml:space="preserve"> the high runoff period in June.  The average maximum flow (~hourly peak) is 10 MGD, indicating a short-duration flow peak of 1.43, which is very moderate.</w:t>
      </w:r>
    </w:p>
    <w:p w14:paraId="53A54FCC" w14:textId="77777777" w:rsidR="00F813E1" w:rsidRDefault="00F813E1" w:rsidP="00F813E1">
      <w:pPr>
        <w:spacing w:after="0"/>
      </w:pPr>
    </w:p>
    <w:p w14:paraId="07F334D5" w14:textId="2F3B584C" w:rsidR="00F813E1" w:rsidRDefault="007A5E42" w:rsidP="007A5E42">
      <w:pPr>
        <w:pStyle w:val="ListParagraph"/>
        <w:numPr>
          <w:ilvl w:val="0"/>
          <w:numId w:val="2"/>
        </w:numPr>
        <w:spacing w:after="0"/>
      </w:pPr>
      <w:r>
        <w:t>Influent COD</w:t>
      </w:r>
      <w:proofErr w:type="gramStart"/>
      <w:r>
        <w:t>:TBOD</w:t>
      </w:r>
      <w:proofErr w:type="gramEnd"/>
      <w:r>
        <w:t xml:space="preserve"> ratio calculated from averages of the measurements of the two parameters = 2.53, which is about 10 to 70% higher than reported typical values between 1.5 and 2.3.  </w:t>
      </w:r>
      <w:r w:rsidR="00466938">
        <w:t xml:space="preserve">Data for influent COD, </w:t>
      </w:r>
      <w:proofErr w:type="spellStart"/>
      <w:r w:rsidR="00466938">
        <w:t>tBOD</w:t>
      </w:r>
      <w:proofErr w:type="spellEnd"/>
      <w:r w:rsidR="00466938">
        <w:t xml:space="preserve">, TSS and COD/BOD ratio are shown below with trend lines for each series. </w:t>
      </w:r>
      <w:r w:rsidR="00E3641C">
        <w:t xml:space="preserve">Correlation between Influent COD and </w:t>
      </w:r>
      <w:proofErr w:type="spellStart"/>
      <w:r w:rsidR="00E3641C">
        <w:t>tBOD</w:t>
      </w:r>
      <w:proofErr w:type="spellEnd"/>
      <w:r w:rsidR="00E3641C">
        <w:t xml:space="preserve"> is weak (R = 0.432). The ratio of influent </w:t>
      </w:r>
      <w:proofErr w:type="spellStart"/>
      <w:r w:rsidR="00E3641C">
        <w:t>COD</w:t>
      </w:r>
      <w:proofErr w:type="gramStart"/>
      <w:r w:rsidR="00E3641C">
        <w:t>:tBOD</w:t>
      </w:r>
      <w:proofErr w:type="spellEnd"/>
      <w:proofErr w:type="gramEnd"/>
      <w:r w:rsidR="00E3641C">
        <w:t xml:space="preserve"> is stronger, R = 0.612; while the correlation between influent </w:t>
      </w:r>
      <w:proofErr w:type="spellStart"/>
      <w:r w:rsidR="00E3641C">
        <w:t>tBOD</w:t>
      </w:r>
      <w:proofErr w:type="spellEnd"/>
      <w:r w:rsidR="00E3641C">
        <w:t xml:space="preserve"> and the ratio </w:t>
      </w:r>
      <w:proofErr w:type="spellStart"/>
      <w:r w:rsidR="00E3641C">
        <w:t>COD:tBOD</w:t>
      </w:r>
      <w:proofErr w:type="spellEnd"/>
      <w:r w:rsidR="00E3641C">
        <w:t xml:space="preserve"> is actually negative, R = -0.436, implying that the high </w:t>
      </w:r>
      <w:proofErr w:type="spellStart"/>
      <w:r w:rsidR="00E3641C">
        <w:t>COD:tBOD</w:t>
      </w:r>
      <w:proofErr w:type="spellEnd"/>
      <w:r w:rsidR="00E3641C">
        <w:t xml:space="preserve"> ratio is influenced both by higher COD values and lower influent </w:t>
      </w:r>
      <w:proofErr w:type="spellStart"/>
      <w:r w:rsidR="00E3641C">
        <w:t>tBOD</w:t>
      </w:r>
      <w:proofErr w:type="spellEnd"/>
      <w:r w:rsidR="00E3641C">
        <w:t xml:space="preserve">, both of which occur at the end of the sampling period – May and June. </w:t>
      </w:r>
      <w:r>
        <w:t>Explanations include either soluble or particulate organic matter in sewage</w:t>
      </w:r>
      <w:r w:rsidR="0002705E">
        <w:t>,</w:t>
      </w:r>
      <w:r>
        <w:t xml:space="preserve"> which is not rapidly biodegradable under the conditions of a 5-day BOD test. That could be components like oil and grease from restaurants and cafeterias, industrial wastes like solvents and degreasers (although hopefully they would not comprise a large fraction of influent organics). </w:t>
      </w:r>
      <w:r w:rsidR="00A36C35">
        <w:t>There could be toxic organic compounds</w:t>
      </w:r>
      <w:r w:rsidR="0002705E">
        <w:t xml:space="preserve"> that suppress oxygen uptake </w:t>
      </w:r>
      <w:r w:rsidR="0002705E">
        <w:lastRenderedPageBreak/>
        <w:t>during the BOD test</w:t>
      </w:r>
      <w:r w:rsidR="00A36C35">
        <w:t xml:space="preserve">. Again one would hope not in the concentration that would produce a </w:t>
      </w:r>
      <w:r w:rsidR="0002705E">
        <w:t>lower than actual BOD</w:t>
      </w:r>
      <w:r w:rsidR="00466938">
        <w:t xml:space="preserve">. </w:t>
      </w:r>
      <w:r>
        <w:t>One of the students</w:t>
      </w:r>
      <w:r w:rsidR="00A36C35">
        <w:t xml:space="preserve"> in class</w:t>
      </w:r>
      <w:r w:rsidR="004D36B0">
        <w:t xml:space="preserve"> last year</w:t>
      </w:r>
      <w:r>
        <w:t xml:space="preserve">, Mitch Clement, offered an </w:t>
      </w:r>
      <w:r w:rsidR="001F2009">
        <w:t>interesting</w:t>
      </w:r>
      <w:r>
        <w:t xml:space="preserve"> hypothesis: that the readily degradable matter in the sewage was degraded in the </w:t>
      </w:r>
      <w:r w:rsidR="004D36B0">
        <w:t xml:space="preserve">sewer </w:t>
      </w:r>
      <w:r>
        <w:t>before it reached the plant, and supported his explanation by evaluating the association of the COD</w:t>
      </w:r>
      <w:proofErr w:type="gramStart"/>
      <w:r>
        <w:t>:TBOD</w:t>
      </w:r>
      <w:proofErr w:type="gramEnd"/>
      <w:r>
        <w:t xml:space="preserve"> to flow. </w:t>
      </w:r>
      <w:r w:rsidR="00283C2F">
        <w:t>That correlation coefficient is positive</w:t>
      </w:r>
      <w:r w:rsidR="004D36B0">
        <w:t xml:space="preserve"> between </w:t>
      </w:r>
      <w:proofErr w:type="spellStart"/>
      <w:r w:rsidR="004D36B0">
        <w:t>COD</w:t>
      </w:r>
      <w:proofErr w:type="gramStart"/>
      <w:r w:rsidR="004D36B0">
        <w:t>:tBOD</w:t>
      </w:r>
      <w:proofErr w:type="spellEnd"/>
      <w:proofErr w:type="gramEnd"/>
      <w:r w:rsidR="004D36B0">
        <w:t xml:space="preserve"> and the influent flow rate</w:t>
      </w:r>
      <w:r w:rsidR="00283C2F">
        <w:t xml:space="preserve">, but not high, R = 0.30. However, the seasonality of the drop in influent </w:t>
      </w:r>
      <w:proofErr w:type="spellStart"/>
      <w:r w:rsidR="00283C2F">
        <w:t>tBOD</w:t>
      </w:r>
      <w:proofErr w:type="spellEnd"/>
      <w:r w:rsidR="00283C2F">
        <w:t xml:space="preserve"> (in warmer months) supports that biodegradation in the sewer could be higher due to warmer temperatures</w:t>
      </w:r>
      <w:r w:rsidR="00BB542D">
        <w:t xml:space="preserve">. </w:t>
      </w:r>
    </w:p>
    <w:p w14:paraId="183E7C30" w14:textId="77777777" w:rsidR="007A5E42" w:rsidRDefault="007A5E42" w:rsidP="00E47897">
      <w:pPr>
        <w:spacing w:after="0"/>
      </w:pPr>
    </w:p>
    <w:p w14:paraId="0EEEA2D8" w14:textId="77777777" w:rsidR="004571D3" w:rsidRDefault="004571D3" w:rsidP="00E47897">
      <w:pPr>
        <w:spacing w:after="0"/>
      </w:pPr>
    </w:p>
    <w:p w14:paraId="73E9FCBA" w14:textId="637A4419" w:rsidR="004571D3" w:rsidRDefault="00466938" w:rsidP="00E47897">
      <w:pPr>
        <w:spacing w:after="0"/>
      </w:pPr>
      <w:r>
        <w:rPr>
          <w:noProof/>
        </w:rPr>
        <w:drawing>
          <wp:inline distT="0" distB="0" distL="0" distR="0" wp14:anchorId="64935011" wp14:editId="4048451D">
            <wp:extent cx="5943600" cy="4318000"/>
            <wp:effectExtent l="0" t="0" r="25400" b="2540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291579D" w14:textId="77777777" w:rsidR="004571D3" w:rsidRDefault="004571D3" w:rsidP="00E47897">
      <w:pPr>
        <w:spacing w:after="0"/>
      </w:pPr>
    </w:p>
    <w:p w14:paraId="4CDB1F8A" w14:textId="77777777" w:rsidR="004571D3" w:rsidRDefault="004571D3" w:rsidP="00E47897">
      <w:pPr>
        <w:spacing w:after="0"/>
      </w:pPr>
    </w:p>
    <w:p w14:paraId="0D55D491" w14:textId="77777777" w:rsidR="004571D3" w:rsidRDefault="004571D3" w:rsidP="00E47897">
      <w:pPr>
        <w:spacing w:after="0"/>
      </w:pPr>
    </w:p>
    <w:p w14:paraId="30C87394" w14:textId="77777777" w:rsidR="004571D3" w:rsidRDefault="004571D3" w:rsidP="00E47897">
      <w:pPr>
        <w:spacing w:after="0"/>
      </w:pPr>
    </w:p>
    <w:p w14:paraId="1506B163" w14:textId="77777777" w:rsidR="004571D3" w:rsidRDefault="004571D3" w:rsidP="00E47897">
      <w:pPr>
        <w:spacing w:after="0"/>
      </w:pPr>
    </w:p>
    <w:p w14:paraId="3CCFD46B" w14:textId="77777777" w:rsidR="004571D3" w:rsidRDefault="004571D3" w:rsidP="00E47897">
      <w:pPr>
        <w:spacing w:after="0"/>
      </w:pPr>
    </w:p>
    <w:p w14:paraId="0C14E238" w14:textId="77777777" w:rsidR="004571D3" w:rsidRDefault="004571D3" w:rsidP="00E47897">
      <w:pPr>
        <w:spacing w:after="0"/>
      </w:pPr>
    </w:p>
    <w:p w14:paraId="18372D8D" w14:textId="77777777" w:rsidR="004571D3" w:rsidRDefault="004571D3" w:rsidP="00E47897">
      <w:pPr>
        <w:spacing w:after="0"/>
      </w:pPr>
    </w:p>
    <w:p w14:paraId="17DB3E56" w14:textId="77777777" w:rsidR="004571D3" w:rsidRDefault="004571D3" w:rsidP="00E47897">
      <w:pPr>
        <w:spacing w:after="0"/>
      </w:pPr>
    </w:p>
    <w:p w14:paraId="302F08BE" w14:textId="77777777" w:rsidR="00E47897" w:rsidRDefault="00E47897" w:rsidP="00E47897">
      <w:pPr>
        <w:pStyle w:val="ListParagraph"/>
        <w:numPr>
          <w:ilvl w:val="0"/>
          <w:numId w:val="2"/>
        </w:numPr>
        <w:spacing w:after="0"/>
      </w:pPr>
      <w:r>
        <w:lastRenderedPageBreak/>
        <w:t>Graph of total effluent ammonia (NH4-N + NH3-N) daily and 30-day average values are shown below.</w:t>
      </w:r>
    </w:p>
    <w:p w14:paraId="176F298F" w14:textId="77777777" w:rsidR="00E47897" w:rsidRDefault="00E47897" w:rsidP="00E47897">
      <w:pPr>
        <w:spacing w:after="0"/>
      </w:pPr>
    </w:p>
    <w:p w14:paraId="1E99FFD5" w14:textId="77777777" w:rsidR="00E47897" w:rsidRDefault="00E47897" w:rsidP="00E47897">
      <w:pPr>
        <w:spacing w:after="0"/>
        <w:jc w:val="center"/>
      </w:pPr>
      <w:r w:rsidRPr="00E47897">
        <w:rPr>
          <w:noProof/>
        </w:rPr>
        <w:drawing>
          <wp:inline distT="0" distB="0" distL="0" distR="0" wp14:anchorId="561E1A96" wp14:editId="5BEEDCE2">
            <wp:extent cx="4572000" cy="2743200"/>
            <wp:effectExtent l="19050" t="0" r="1905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4F860A7" w14:textId="77777777" w:rsidR="00E47897" w:rsidRDefault="00E47897" w:rsidP="00E47897">
      <w:pPr>
        <w:spacing w:after="0"/>
      </w:pPr>
    </w:p>
    <w:p w14:paraId="17A0AB15" w14:textId="77777777" w:rsidR="00F81CA3" w:rsidRDefault="00F81CA3" w:rsidP="00E47897">
      <w:pPr>
        <w:spacing w:after="0"/>
      </w:pPr>
      <w:r>
        <w:t>General formula for going from water quality standard to permit limits:</w:t>
      </w:r>
    </w:p>
    <w:p w14:paraId="09CFF1E4" w14:textId="77777777" w:rsidR="00E47897" w:rsidRDefault="00F202C5" w:rsidP="00E47897">
      <w:pPr>
        <w:spacing w:after="0"/>
      </w:pPr>
      <m:oMathPara>
        <m:oMath>
          <m:sSub>
            <m:sSubPr>
              <m:ctrlPr>
                <w:rPr>
                  <w:rFonts w:ascii="Cambria Math" w:hAnsi="Cambria Math"/>
                  <w:i/>
                </w:rPr>
              </m:ctrlPr>
            </m:sSubPr>
            <m:e>
              <m:r>
                <w:rPr>
                  <w:rFonts w:ascii="Cambria Math" w:hAnsi="Cambria Math"/>
                </w:rPr>
                <m:t>C</m:t>
              </m:r>
            </m:e>
            <m:sub>
              <m:r>
                <w:rPr>
                  <w:rFonts w:ascii="Cambria Math" w:hAnsi="Cambria Math"/>
                </w:rPr>
                <m:t>w</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ds</m:t>
                  </m:r>
                </m:sub>
              </m:sSub>
              <m:sSub>
                <m:sSubPr>
                  <m:ctrlPr>
                    <w:rPr>
                      <w:rFonts w:ascii="Cambria Math" w:hAnsi="Cambria Math"/>
                      <w:i/>
                    </w:rPr>
                  </m:ctrlPr>
                </m:sSubPr>
                <m:e>
                  <m:r>
                    <w:rPr>
                      <w:rFonts w:ascii="Cambria Math" w:hAnsi="Cambria Math"/>
                    </w:rPr>
                    <m:t>Q</m:t>
                  </m:r>
                </m:e>
                <m:sub>
                  <m:r>
                    <w:rPr>
                      <w:rFonts w:ascii="Cambria Math" w:hAnsi="Cambria Math"/>
                    </w:rPr>
                    <m:t>ds</m:t>
                  </m:r>
                </m:sub>
              </m:sSub>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C</m:t>
                      </m:r>
                    </m:e>
                    <m:sub>
                      <m:r>
                        <w:rPr>
                          <w:rFonts w:ascii="Cambria Math" w:hAnsi="Cambria Math"/>
                        </w:rPr>
                        <m:t>us</m:t>
                      </m:r>
                    </m:sub>
                  </m:sSub>
                  <m:r>
                    <w:rPr>
                      <w:rFonts w:ascii="Cambria Math" w:hAnsi="Cambria Math"/>
                    </w:rPr>
                    <m:t>Q</m:t>
                  </m:r>
                </m:e>
                <m:sub>
                  <m:r>
                    <w:rPr>
                      <w:rFonts w:ascii="Cambria Math" w:hAnsi="Cambria Math"/>
                    </w:rPr>
                    <m:t>us</m:t>
                  </m:r>
                </m:sub>
              </m:sSub>
            </m:num>
            <m:den>
              <m:sSub>
                <m:sSubPr>
                  <m:ctrlPr>
                    <w:rPr>
                      <w:rFonts w:ascii="Cambria Math" w:hAnsi="Cambria Math"/>
                      <w:i/>
                    </w:rPr>
                  </m:ctrlPr>
                </m:sSubPr>
                <m:e>
                  <m:r>
                    <w:rPr>
                      <w:rFonts w:ascii="Cambria Math" w:hAnsi="Cambria Math"/>
                    </w:rPr>
                    <m:t>Q</m:t>
                  </m:r>
                </m:e>
                <m:sub>
                  <m:r>
                    <w:rPr>
                      <w:rFonts w:ascii="Cambria Math" w:hAnsi="Cambria Math"/>
                    </w:rPr>
                    <m:t>w</m:t>
                  </m:r>
                </m:sub>
              </m:sSub>
            </m:den>
          </m:f>
        </m:oMath>
      </m:oMathPara>
    </w:p>
    <w:p w14:paraId="097F6038" w14:textId="77777777" w:rsidR="00E47897" w:rsidRDefault="00F81CA3" w:rsidP="00E47897">
      <w:pPr>
        <w:spacing w:after="0"/>
      </w:pPr>
      <w:r>
        <w:t xml:space="preserve">Where </w:t>
      </w:r>
      <w:proofErr w:type="spellStart"/>
      <w:r>
        <w:t>C</w:t>
      </w:r>
      <w:r w:rsidRPr="00F81CA3">
        <w:rPr>
          <w:vertAlign w:val="subscript"/>
        </w:rPr>
        <w:t>w</w:t>
      </w:r>
      <w:proofErr w:type="spellEnd"/>
      <w:r>
        <w:t xml:space="preserve"> and </w:t>
      </w:r>
      <w:proofErr w:type="spellStart"/>
      <w:r>
        <w:t>Q</w:t>
      </w:r>
      <w:r w:rsidRPr="00F81CA3">
        <w:rPr>
          <w:vertAlign w:val="subscript"/>
        </w:rPr>
        <w:t>w</w:t>
      </w:r>
      <w:proofErr w:type="spellEnd"/>
      <w:r>
        <w:t xml:space="preserve"> are wastewater treatment plant ammonia-nitrogen species concentration and plant normalized effluent flow rate, respectively; </w:t>
      </w:r>
      <w:proofErr w:type="spellStart"/>
      <w:r>
        <w:t>C</w:t>
      </w:r>
      <w:r>
        <w:rPr>
          <w:vertAlign w:val="subscript"/>
        </w:rPr>
        <w:t>us</w:t>
      </w:r>
      <w:proofErr w:type="spellEnd"/>
      <w:r>
        <w:t xml:space="preserve"> and </w:t>
      </w:r>
      <w:proofErr w:type="spellStart"/>
      <w:r>
        <w:t>Q</w:t>
      </w:r>
      <w:r>
        <w:rPr>
          <w:vertAlign w:val="subscript"/>
        </w:rPr>
        <w:t>us</w:t>
      </w:r>
      <w:proofErr w:type="spellEnd"/>
      <w:r>
        <w:t xml:space="preserve"> are ammonia-nitrogen species concentration and normalized stream flow rate upstream of the plant discharge, respectively; </w:t>
      </w:r>
      <w:proofErr w:type="spellStart"/>
      <w:r>
        <w:t>C</w:t>
      </w:r>
      <w:r>
        <w:rPr>
          <w:vertAlign w:val="subscript"/>
        </w:rPr>
        <w:t>ds</w:t>
      </w:r>
      <w:proofErr w:type="spellEnd"/>
      <w:r>
        <w:t xml:space="preserve"> and </w:t>
      </w:r>
      <w:proofErr w:type="spellStart"/>
      <w:r>
        <w:t>Q</w:t>
      </w:r>
      <w:r>
        <w:rPr>
          <w:vertAlign w:val="subscript"/>
        </w:rPr>
        <w:t>ds</w:t>
      </w:r>
      <w:proofErr w:type="spellEnd"/>
      <w:r>
        <w:t xml:space="preserve"> are ammonia-nitrogen species concentration and normalized flow rate downstream (after discharge), respectively. </w:t>
      </w:r>
      <w:r w:rsidR="00AD043E">
        <w:t xml:space="preserve">The condition of Longmont’s permit is that they must report the </w:t>
      </w:r>
      <w:r w:rsidR="00AD043E" w:rsidRPr="00AD043E">
        <w:rPr>
          <w:u w:val="single"/>
        </w:rPr>
        <w:t>highest daily average ammonia</w:t>
      </w:r>
      <w:r w:rsidR="00AD043E">
        <w:rPr>
          <w:u w:val="single"/>
        </w:rPr>
        <w:t xml:space="preserve"> for any month.</w:t>
      </w:r>
    </w:p>
    <w:p w14:paraId="769AF425" w14:textId="77777777" w:rsidR="008A5E13" w:rsidRDefault="008A5E13" w:rsidP="00E47897">
      <w:pPr>
        <w:spacing w:after="0"/>
      </w:pPr>
    </w:p>
    <w:tbl>
      <w:tblPr>
        <w:tblStyle w:val="TableGrid"/>
        <w:tblW w:w="0" w:type="auto"/>
        <w:tblLook w:val="04A0" w:firstRow="1" w:lastRow="0" w:firstColumn="1" w:lastColumn="0" w:noHBand="0" w:noVBand="1"/>
      </w:tblPr>
      <w:tblGrid>
        <w:gridCol w:w="7308"/>
        <w:gridCol w:w="1080"/>
      </w:tblGrid>
      <w:tr w:rsidR="000038F5" w:rsidRPr="000038F5" w14:paraId="314DA8A3" w14:textId="77777777" w:rsidTr="000038F5">
        <w:tc>
          <w:tcPr>
            <w:tcW w:w="7308" w:type="dxa"/>
          </w:tcPr>
          <w:p w14:paraId="31952B4D" w14:textId="77777777" w:rsidR="000038F5" w:rsidRPr="000038F5" w:rsidRDefault="000038F5" w:rsidP="00F202C5">
            <w:r w:rsidRPr="000038F5">
              <w:t>Upstream total ammonia-N (mg/</w:t>
            </w:r>
            <w:proofErr w:type="gramStart"/>
            <w:r w:rsidRPr="000038F5">
              <w:t>l)</w:t>
            </w:r>
            <w:r w:rsidRPr="000038F5">
              <w:rPr>
                <w:vertAlign w:val="superscript"/>
              </w:rPr>
              <w:t>1</w:t>
            </w:r>
            <w:proofErr w:type="gramEnd"/>
          </w:p>
        </w:tc>
        <w:tc>
          <w:tcPr>
            <w:tcW w:w="1080" w:type="dxa"/>
          </w:tcPr>
          <w:p w14:paraId="42AAE630" w14:textId="77777777" w:rsidR="000038F5" w:rsidRPr="000038F5" w:rsidRDefault="000038F5" w:rsidP="000038F5">
            <w:pPr>
              <w:jc w:val="center"/>
            </w:pPr>
            <w:r w:rsidRPr="000038F5">
              <w:t>0.53</w:t>
            </w:r>
          </w:p>
        </w:tc>
      </w:tr>
      <w:tr w:rsidR="000038F5" w:rsidRPr="000038F5" w14:paraId="3A11EB8E" w14:textId="77777777" w:rsidTr="000038F5">
        <w:tc>
          <w:tcPr>
            <w:tcW w:w="7308" w:type="dxa"/>
          </w:tcPr>
          <w:p w14:paraId="0B4B4FF5" w14:textId="77777777" w:rsidR="000038F5" w:rsidRPr="000038F5" w:rsidRDefault="000038F5" w:rsidP="00F202C5">
            <w:r w:rsidRPr="000038F5">
              <w:t>Upstream unionized NH3-N (mg/l)</w:t>
            </w:r>
            <w:r w:rsidRPr="000038F5">
              <w:rPr>
                <w:vertAlign w:val="superscript"/>
              </w:rPr>
              <w:t xml:space="preserve"> 1</w:t>
            </w:r>
          </w:p>
        </w:tc>
        <w:tc>
          <w:tcPr>
            <w:tcW w:w="1080" w:type="dxa"/>
          </w:tcPr>
          <w:p w14:paraId="63471C34" w14:textId="77777777" w:rsidR="000038F5" w:rsidRPr="000038F5" w:rsidRDefault="000038F5" w:rsidP="000038F5">
            <w:pPr>
              <w:jc w:val="center"/>
            </w:pPr>
            <w:r w:rsidRPr="000038F5">
              <w:t>0.026</w:t>
            </w:r>
          </w:p>
        </w:tc>
      </w:tr>
      <w:tr w:rsidR="000038F5" w:rsidRPr="000038F5" w14:paraId="4E718FD8" w14:textId="77777777" w:rsidTr="000038F5">
        <w:tc>
          <w:tcPr>
            <w:tcW w:w="7308" w:type="dxa"/>
            <w:shd w:val="clear" w:color="auto" w:fill="EAF1DD" w:themeFill="accent3" w:themeFillTint="33"/>
          </w:tcPr>
          <w:p w14:paraId="5C86794E" w14:textId="77777777" w:rsidR="000038F5" w:rsidRPr="000038F5" w:rsidRDefault="000038F5" w:rsidP="00F202C5">
            <w:r w:rsidRPr="000038F5">
              <w:t>Acute Water quality standard total ammonia (</w:t>
            </w:r>
            <w:proofErr w:type="spellStart"/>
            <w:r w:rsidRPr="000038F5">
              <w:t>C</w:t>
            </w:r>
            <w:r w:rsidRPr="000038F5">
              <w:rPr>
                <w:vertAlign w:val="subscript"/>
              </w:rPr>
              <w:t>ds</w:t>
            </w:r>
            <w:proofErr w:type="spellEnd"/>
            <w:r w:rsidRPr="000038F5">
              <w:t>, mg/l)</w:t>
            </w:r>
          </w:p>
        </w:tc>
        <w:tc>
          <w:tcPr>
            <w:tcW w:w="1080" w:type="dxa"/>
            <w:shd w:val="clear" w:color="auto" w:fill="EAF1DD" w:themeFill="accent3" w:themeFillTint="33"/>
          </w:tcPr>
          <w:p w14:paraId="2DE8938F" w14:textId="77777777" w:rsidR="000038F5" w:rsidRPr="000038F5" w:rsidRDefault="000038F5" w:rsidP="000038F5">
            <w:pPr>
              <w:jc w:val="center"/>
            </w:pPr>
            <w:r w:rsidRPr="000038F5">
              <w:t>8.4</w:t>
            </w:r>
          </w:p>
        </w:tc>
      </w:tr>
      <w:tr w:rsidR="000038F5" w:rsidRPr="000038F5" w14:paraId="655411CD" w14:textId="77777777" w:rsidTr="000038F5">
        <w:tc>
          <w:tcPr>
            <w:tcW w:w="7308" w:type="dxa"/>
            <w:shd w:val="clear" w:color="auto" w:fill="EAF1DD" w:themeFill="accent3" w:themeFillTint="33"/>
          </w:tcPr>
          <w:p w14:paraId="75A82277" w14:textId="77777777" w:rsidR="000038F5" w:rsidRPr="000038F5" w:rsidRDefault="000038F5" w:rsidP="00F202C5">
            <w:r w:rsidRPr="000038F5">
              <w:t>Chronic Water Quality standard unionized ammonia (</w:t>
            </w:r>
            <w:proofErr w:type="spellStart"/>
            <w:r w:rsidRPr="000038F5">
              <w:t>C</w:t>
            </w:r>
            <w:r w:rsidRPr="000038F5">
              <w:rPr>
                <w:vertAlign w:val="subscript"/>
              </w:rPr>
              <w:t>ds</w:t>
            </w:r>
            <w:proofErr w:type="spellEnd"/>
            <w:r w:rsidRPr="000038F5">
              <w:t>, mg/l)</w:t>
            </w:r>
          </w:p>
        </w:tc>
        <w:tc>
          <w:tcPr>
            <w:tcW w:w="1080" w:type="dxa"/>
            <w:shd w:val="clear" w:color="auto" w:fill="EAF1DD" w:themeFill="accent3" w:themeFillTint="33"/>
          </w:tcPr>
          <w:p w14:paraId="4E3F16A2" w14:textId="77777777" w:rsidR="000038F5" w:rsidRPr="000038F5" w:rsidRDefault="000038F5" w:rsidP="000038F5">
            <w:pPr>
              <w:jc w:val="center"/>
            </w:pPr>
            <w:r w:rsidRPr="000038F5">
              <w:t>0.06</w:t>
            </w:r>
          </w:p>
        </w:tc>
      </w:tr>
      <w:tr w:rsidR="000038F5" w:rsidRPr="000038F5" w14:paraId="69693A2E" w14:textId="77777777" w:rsidTr="000038F5">
        <w:tc>
          <w:tcPr>
            <w:tcW w:w="7308" w:type="dxa"/>
          </w:tcPr>
          <w:p w14:paraId="653BD437" w14:textId="77777777" w:rsidR="000038F5" w:rsidRPr="000038F5" w:rsidRDefault="000038F5" w:rsidP="00F202C5">
            <w:r w:rsidRPr="000038F5">
              <w:t>WWTP average total ammonia-nitrogen (mg/l)</w:t>
            </w:r>
          </w:p>
        </w:tc>
        <w:tc>
          <w:tcPr>
            <w:tcW w:w="1080" w:type="dxa"/>
          </w:tcPr>
          <w:p w14:paraId="43492DA7" w14:textId="77777777" w:rsidR="000038F5" w:rsidRPr="000038F5" w:rsidRDefault="000038F5" w:rsidP="000038F5">
            <w:pPr>
              <w:jc w:val="center"/>
            </w:pPr>
            <w:r w:rsidRPr="000038F5">
              <w:t>1.13</w:t>
            </w:r>
          </w:p>
        </w:tc>
      </w:tr>
      <w:tr w:rsidR="000038F5" w:rsidRPr="000038F5" w14:paraId="35FDBCF7" w14:textId="77777777" w:rsidTr="000038F5">
        <w:tc>
          <w:tcPr>
            <w:tcW w:w="7308" w:type="dxa"/>
          </w:tcPr>
          <w:p w14:paraId="04E9E0BD" w14:textId="77777777" w:rsidR="000038F5" w:rsidRPr="000038F5" w:rsidRDefault="000038F5" w:rsidP="00F202C5">
            <w:r w:rsidRPr="000038F5">
              <w:t>WWTP maximum 30-day average total ammonia-nitrogen (mg/l)</w:t>
            </w:r>
          </w:p>
        </w:tc>
        <w:tc>
          <w:tcPr>
            <w:tcW w:w="1080" w:type="dxa"/>
          </w:tcPr>
          <w:p w14:paraId="1B5F66F6" w14:textId="77777777" w:rsidR="000038F5" w:rsidRPr="000038F5" w:rsidRDefault="000038F5" w:rsidP="000038F5">
            <w:pPr>
              <w:jc w:val="center"/>
            </w:pPr>
            <w:r w:rsidRPr="000038F5">
              <w:t>1.56</w:t>
            </w:r>
          </w:p>
        </w:tc>
      </w:tr>
      <w:tr w:rsidR="000038F5" w:rsidRPr="000038F5" w14:paraId="42180755" w14:textId="77777777" w:rsidTr="000038F5">
        <w:tc>
          <w:tcPr>
            <w:tcW w:w="7308" w:type="dxa"/>
          </w:tcPr>
          <w:p w14:paraId="62472226" w14:textId="77777777" w:rsidR="000038F5" w:rsidRPr="000038F5" w:rsidRDefault="000038F5" w:rsidP="00F202C5">
            <w:r w:rsidRPr="000038F5">
              <w:t xml:space="preserve">Calculated WWTP </w:t>
            </w:r>
            <w:proofErr w:type="spellStart"/>
            <w:r w:rsidRPr="000038F5">
              <w:t>avg</w:t>
            </w:r>
            <w:proofErr w:type="spellEnd"/>
            <w:r w:rsidRPr="000038F5">
              <w:t xml:space="preserve"> unionized NH3-N (mg/l)</w:t>
            </w:r>
          </w:p>
        </w:tc>
        <w:tc>
          <w:tcPr>
            <w:tcW w:w="1080" w:type="dxa"/>
          </w:tcPr>
          <w:p w14:paraId="5DF60483" w14:textId="77777777" w:rsidR="000038F5" w:rsidRPr="000038F5" w:rsidRDefault="000038F5" w:rsidP="000038F5">
            <w:pPr>
              <w:jc w:val="center"/>
            </w:pPr>
            <w:r w:rsidRPr="000038F5">
              <w:t>0.07</w:t>
            </w:r>
          </w:p>
        </w:tc>
      </w:tr>
      <w:tr w:rsidR="000038F5" w:rsidRPr="000038F5" w14:paraId="6F74C96E" w14:textId="77777777" w:rsidTr="000038F5">
        <w:tc>
          <w:tcPr>
            <w:tcW w:w="7308" w:type="dxa"/>
          </w:tcPr>
          <w:p w14:paraId="2EDE1761" w14:textId="77777777" w:rsidR="000038F5" w:rsidRPr="000038F5" w:rsidRDefault="000038F5" w:rsidP="00F202C5">
            <w:r w:rsidRPr="000038F5">
              <w:t>Calculated WWTP max. 30-day average unionized NH3-N (mg/l)</w:t>
            </w:r>
          </w:p>
        </w:tc>
        <w:tc>
          <w:tcPr>
            <w:tcW w:w="1080" w:type="dxa"/>
          </w:tcPr>
          <w:p w14:paraId="1933B35E" w14:textId="77777777" w:rsidR="000038F5" w:rsidRPr="000038F5" w:rsidRDefault="000038F5" w:rsidP="000038F5">
            <w:pPr>
              <w:jc w:val="center"/>
            </w:pPr>
            <w:r w:rsidRPr="000038F5">
              <w:t>0.09</w:t>
            </w:r>
          </w:p>
        </w:tc>
      </w:tr>
    </w:tbl>
    <w:p w14:paraId="6E606836" w14:textId="77777777" w:rsidR="000038F5" w:rsidRDefault="000038F5" w:rsidP="00E47897">
      <w:pPr>
        <w:spacing w:after="0"/>
      </w:pPr>
      <w:r w:rsidRPr="000038F5">
        <w:rPr>
          <w:vertAlign w:val="superscript"/>
        </w:rPr>
        <w:t>1</w:t>
      </w:r>
      <w:r>
        <w:t xml:space="preserve"> average from CDPHE stream water quality sampling</w:t>
      </w:r>
      <w:r w:rsidR="008A7CB5">
        <w:t>, LWWTP permit rationale.</w:t>
      </w:r>
    </w:p>
    <w:p w14:paraId="72F7B2FC" w14:textId="77777777" w:rsidR="00EA200E" w:rsidRDefault="00EA200E" w:rsidP="00E47897">
      <w:pPr>
        <w:spacing w:after="0"/>
      </w:pPr>
    </w:p>
    <w:p w14:paraId="239A59E5" w14:textId="77777777" w:rsidR="00EA200E" w:rsidRDefault="00EA200E" w:rsidP="00E47897">
      <w:pPr>
        <w:spacing w:after="0"/>
      </w:pPr>
    </w:p>
    <w:p w14:paraId="737772D7" w14:textId="77777777" w:rsidR="00EA200E" w:rsidRDefault="00EA200E" w:rsidP="00E47897">
      <w:pPr>
        <w:spacing w:after="0"/>
      </w:pPr>
    </w:p>
    <w:p w14:paraId="487D9B57" w14:textId="77777777" w:rsidR="00EA200E" w:rsidRDefault="00EA200E" w:rsidP="00E47897">
      <w:pPr>
        <w:spacing w:after="0"/>
      </w:pPr>
    </w:p>
    <w:p w14:paraId="15BD2E8D" w14:textId="297A8783" w:rsidR="00EA200E" w:rsidRDefault="00D6215D" w:rsidP="00E47897">
      <w:pPr>
        <w:spacing w:after="0"/>
      </w:pPr>
      <w:proofErr w:type="gramStart"/>
      <w:r>
        <w:lastRenderedPageBreak/>
        <w:t>Comparison of seasonal permit limit</w:t>
      </w:r>
      <w:proofErr w:type="gramEnd"/>
      <w:r>
        <w:t xml:space="preserve"> for ammonia and reported effluent concentration.</w:t>
      </w:r>
      <w:bookmarkStart w:id="0" w:name="_GoBack"/>
      <w:bookmarkEnd w:id="0"/>
    </w:p>
    <w:tbl>
      <w:tblPr>
        <w:tblStyle w:val="TableGrid"/>
        <w:tblW w:w="0" w:type="auto"/>
        <w:tblLook w:val="04A0" w:firstRow="1" w:lastRow="0" w:firstColumn="1" w:lastColumn="0" w:noHBand="0" w:noVBand="1"/>
      </w:tblPr>
      <w:tblGrid>
        <w:gridCol w:w="2394"/>
        <w:gridCol w:w="2574"/>
        <w:gridCol w:w="4050"/>
      </w:tblGrid>
      <w:tr w:rsidR="00962B66" w:rsidRPr="00962B66" w14:paraId="634CA32B" w14:textId="77777777" w:rsidTr="00EA200E">
        <w:tc>
          <w:tcPr>
            <w:tcW w:w="2394" w:type="dxa"/>
          </w:tcPr>
          <w:p w14:paraId="7A2E4DC8" w14:textId="77777777" w:rsidR="00962B66" w:rsidRPr="00962B66" w:rsidRDefault="00962B66" w:rsidP="00F202C5">
            <w:r w:rsidRPr="00962B66">
              <w:t>Month</w:t>
            </w:r>
          </w:p>
        </w:tc>
        <w:tc>
          <w:tcPr>
            <w:tcW w:w="2574" w:type="dxa"/>
          </w:tcPr>
          <w:p w14:paraId="52BDFD48" w14:textId="77777777" w:rsidR="00EA200E" w:rsidRDefault="00962B66" w:rsidP="00F202C5">
            <w:r w:rsidRPr="00962B66">
              <w:t xml:space="preserve">Permit limit </w:t>
            </w:r>
          </w:p>
          <w:p w14:paraId="5D6AF5AE" w14:textId="5DAA9C94" w:rsidR="00962B66" w:rsidRPr="00962B66" w:rsidRDefault="00962B66" w:rsidP="00F202C5">
            <w:r w:rsidRPr="00962B66">
              <w:t>(</w:t>
            </w:r>
            <w:proofErr w:type="gramStart"/>
            <w:r w:rsidRPr="00962B66">
              <w:t>total</w:t>
            </w:r>
            <w:proofErr w:type="gramEnd"/>
            <w:r w:rsidRPr="00962B66">
              <w:t xml:space="preserve"> ammonia N, mg/l)</w:t>
            </w:r>
          </w:p>
        </w:tc>
        <w:tc>
          <w:tcPr>
            <w:tcW w:w="4050" w:type="dxa"/>
          </w:tcPr>
          <w:p w14:paraId="15AF97D0" w14:textId="77777777" w:rsidR="00EA200E" w:rsidRDefault="00962B66" w:rsidP="00F202C5">
            <w:r w:rsidRPr="00962B66">
              <w:t xml:space="preserve">2009 highest actual daily value </w:t>
            </w:r>
            <w:r w:rsidR="00EA200E">
              <w:t xml:space="preserve">used for reporting </w:t>
            </w:r>
          </w:p>
          <w:p w14:paraId="6B5FF025" w14:textId="77777777" w:rsidR="00962B66" w:rsidRPr="00962B66" w:rsidRDefault="00962B66" w:rsidP="00F202C5">
            <w:r w:rsidRPr="00962B66">
              <w:t>(</w:t>
            </w:r>
            <w:proofErr w:type="gramStart"/>
            <w:r w:rsidRPr="00962B66">
              <w:t>total</w:t>
            </w:r>
            <w:proofErr w:type="gramEnd"/>
            <w:r w:rsidRPr="00962B66">
              <w:t xml:space="preserve"> ammonia N, mg/l)</w:t>
            </w:r>
          </w:p>
        </w:tc>
      </w:tr>
      <w:tr w:rsidR="00962B66" w:rsidRPr="00962B66" w14:paraId="25482722" w14:textId="77777777" w:rsidTr="00EA200E">
        <w:tc>
          <w:tcPr>
            <w:tcW w:w="2394" w:type="dxa"/>
          </w:tcPr>
          <w:p w14:paraId="0E1C8F47" w14:textId="0C5FD012" w:rsidR="00962B66" w:rsidRPr="00962B66" w:rsidRDefault="00962B66" w:rsidP="00F202C5">
            <w:r w:rsidRPr="00962B66">
              <w:t>Jan, Feb, Dec</w:t>
            </w:r>
          </w:p>
        </w:tc>
        <w:tc>
          <w:tcPr>
            <w:tcW w:w="2574" w:type="dxa"/>
          </w:tcPr>
          <w:p w14:paraId="78B1446C" w14:textId="77777777" w:rsidR="00962B66" w:rsidRPr="00962B66" w:rsidRDefault="00962B66" w:rsidP="00962B66">
            <w:pPr>
              <w:jc w:val="center"/>
            </w:pPr>
            <w:r w:rsidRPr="00962B66">
              <w:t>7.4</w:t>
            </w:r>
          </w:p>
        </w:tc>
        <w:tc>
          <w:tcPr>
            <w:tcW w:w="4050" w:type="dxa"/>
          </w:tcPr>
          <w:p w14:paraId="439AD4D3" w14:textId="77777777" w:rsidR="00962B66" w:rsidRPr="00962B66" w:rsidRDefault="00962B66" w:rsidP="00F202C5">
            <w:r w:rsidRPr="00962B66">
              <w:t>1 (Jan, Feb, Dec)</w:t>
            </w:r>
          </w:p>
        </w:tc>
      </w:tr>
      <w:tr w:rsidR="00962B66" w:rsidRPr="00962B66" w14:paraId="2CE3AD97" w14:textId="77777777" w:rsidTr="00EA200E">
        <w:tc>
          <w:tcPr>
            <w:tcW w:w="2394" w:type="dxa"/>
          </w:tcPr>
          <w:p w14:paraId="5C12153F" w14:textId="77777777" w:rsidR="00962B66" w:rsidRPr="00962B66" w:rsidRDefault="00962B66" w:rsidP="00F202C5">
            <w:r w:rsidRPr="00962B66">
              <w:t>Mar, Apr, Aug, Sep</w:t>
            </w:r>
          </w:p>
        </w:tc>
        <w:tc>
          <w:tcPr>
            <w:tcW w:w="2574" w:type="dxa"/>
          </w:tcPr>
          <w:p w14:paraId="3CC6002F" w14:textId="77777777" w:rsidR="00962B66" w:rsidRPr="00962B66" w:rsidRDefault="00962B66" w:rsidP="00962B66">
            <w:pPr>
              <w:jc w:val="center"/>
            </w:pPr>
            <w:r w:rsidRPr="00962B66">
              <w:t>5.1</w:t>
            </w:r>
          </w:p>
        </w:tc>
        <w:tc>
          <w:tcPr>
            <w:tcW w:w="4050" w:type="dxa"/>
          </w:tcPr>
          <w:p w14:paraId="1301CCF0" w14:textId="77777777" w:rsidR="00962B66" w:rsidRPr="00962B66" w:rsidRDefault="00962B66" w:rsidP="00F202C5">
            <w:r w:rsidRPr="00962B66">
              <w:t>2.1 (Mar), 7.74 (Apr – violation), no data (Aug, Sep)</w:t>
            </w:r>
          </w:p>
        </w:tc>
      </w:tr>
      <w:tr w:rsidR="00962B66" w:rsidRPr="00962B66" w14:paraId="1A240336" w14:textId="77777777" w:rsidTr="00EA200E">
        <w:tc>
          <w:tcPr>
            <w:tcW w:w="2394" w:type="dxa"/>
          </w:tcPr>
          <w:p w14:paraId="35874349" w14:textId="77777777" w:rsidR="00962B66" w:rsidRPr="00962B66" w:rsidRDefault="00962B66" w:rsidP="00F202C5">
            <w:r w:rsidRPr="00962B66">
              <w:t>May, Jun, July</w:t>
            </w:r>
          </w:p>
        </w:tc>
        <w:tc>
          <w:tcPr>
            <w:tcW w:w="2574" w:type="dxa"/>
          </w:tcPr>
          <w:p w14:paraId="212D21A9" w14:textId="30552C54" w:rsidR="00962B66" w:rsidRPr="00962B66" w:rsidRDefault="00962B66" w:rsidP="00962B66">
            <w:pPr>
              <w:jc w:val="center"/>
            </w:pPr>
            <w:r w:rsidRPr="00962B66">
              <w:t>4.4</w:t>
            </w:r>
          </w:p>
        </w:tc>
        <w:tc>
          <w:tcPr>
            <w:tcW w:w="4050" w:type="dxa"/>
          </w:tcPr>
          <w:p w14:paraId="5B711793" w14:textId="4E9268C2" w:rsidR="00962B66" w:rsidRPr="00962B66" w:rsidRDefault="00962B66" w:rsidP="00F202C5">
            <w:r w:rsidRPr="00962B66">
              <w:t>1.42 (May), 1 (June, July)</w:t>
            </w:r>
          </w:p>
        </w:tc>
      </w:tr>
      <w:tr w:rsidR="00962B66" w:rsidRPr="00962B66" w14:paraId="5A8ECA41" w14:textId="77777777" w:rsidTr="00EA200E">
        <w:tc>
          <w:tcPr>
            <w:tcW w:w="2394" w:type="dxa"/>
          </w:tcPr>
          <w:p w14:paraId="729BEC48" w14:textId="77777777" w:rsidR="00962B66" w:rsidRPr="00962B66" w:rsidRDefault="00962B66" w:rsidP="00F202C5">
            <w:r w:rsidRPr="00962B66">
              <w:t>Oct., Nov.</w:t>
            </w:r>
          </w:p>
        </w:tc>
        <w:tc>
          <w:tcPr>
            <w:tcW w:w="2574" w:type="dxa"/>
          </w:tcPr>
          <w:p w14:paraId="62C472CD" w14:textId="77777777" w:rsidR="00962B66" w:rsidRPr="00962B66" w:rsidRDefault="00962B66" w:rsidP="00962B66">
            <w:pPr>
              <w:jc w:val="center"/>
            </w:pPr>
            <w:r w:rsidRPr="00962B66">
              <w:t>6.5</w:t>
            </w:r>
          </w:p>
        </w:tc>
        <w:tc>
          <w:tcPr>
            <w:tcW w:w="4050" w:type="dxa"/>
          </w:tcPr>
          <w:p w14:paraId="25750B00" w14:textId="77777777" w:rsidR="00962B66" w:rsidRPr="00962B66" w:rsidRDefault="00962B66" w:rsidP="00F202C5">
            <w:r w:rsidRPr="00962B66">
              <w:t>(</w:t>
            </w:r>
            <w:proofErr w:type="gramStart"/>
            <w:r w:rsidRPr="00962B66">
              <w:t>no</w:t>
            </w:r>
            <w:proofErr w:type="gramEnd"/>
            <w:r w:rsidRPr="00962B66">
              <w:t xml:space="preserve"> data)</w:t>
            </w:r>
          </w:p>
        </w:tc>
      </w:tr>
    </w:tbl>
    <w:p w14:paraId="490002E0" w14:textId="77777777" w:rsidR="00AD043E" w:rsidRDefault="00AD043E" w:rsidP="00E47897">
      <w:pPr>
        <w:spacing w:after="0"/>
      </w:pPr>
    </w:p>
    <w:p w14:paraId="4C365B13" w14:textId="77777777" w:rsidR="008A7CB5" w:rsidRDefault="008A7CB5" w:rsidP="00E47897">
      <w:pPr>
        <w:spacing w:after="0"/>
      </w:pPr>
      <w:r>
        <w:t>Normalized flows:</w:t>
      </w:r>
    </w:p>
    <w:p w14:paraId="5C50CE1A" w14:textId="77777777" w:rsidR="008A7CB5" w:rsidRDefault="008A7CB5" w:rsidP="00E47897">
      <w:pPr>
        <w:spacing w:after="0"/>
      </w:pPr>
      <w:proofErr w:type="spellStart"/>
      <w:r>
        <w:t>Q</w:t>
      </w:r>
      <w:r w:rsidRPr="008A7CB5">
        <w:rPr>
          <w:vertAlign w:val="subscript"/>
        </w:rPr>
        <w:t>w</w:t>
      </w:r>
      <w:proofErr w:type="spellEnd"/>
      <w:r>
        <w:t xml:space="preserve"> = 1; </w:t>
      </w:r>
      <w:proofErr w:type="spellStart"/>
      <w:r>
        <w:t>Q</w:t>
      </w:r>
      <w:r w:rsidRPr="008A7CB5">
        <w:rPr>
          <w:vertAlign w:val="subscript"/>
        </w:rPr>
        <w:t>us</w:t>
      </w:r>
      <w:proofErr w:type="spellEnd"/>
      <w:r>
        <w:t xml:space="preserve"> = 0.54 (low flow condition), </w:t>
      </w:r>
      <w:proofErr w:type="spellStart"/>
      <w:r>
        <w:t>Q</w:t>
      </w:r>
      <w:r w:rsidRPr="008A7CB5">
        <w:rPr>
          <w:vertAlign w:val="subscript"/>
        </w:rPr>
        <w:t>ds</w:t>
      </w:r>
      <w:proofErr w:type="spellEnd"/>
      <w:r>
        <w:t xml:space="preserve"> = 1.54</w:t>
      </w:r>
    </w:p>
    <w:p w14:paraId="22FFB25C" w14:textId="77777777" w:rsidR="00E47897" w:rsidRDefault="00E47897" w:rsidP="00E47897">
      <w:pPr>
        <w:spacing w:after="0"/>
      </w:pPr>
    </w:p>
    <w:p w14:paraId="466A3103" w14:textId="77777777" w:rsidR="008A7CB5" w:rsidRDefault="008A5E13" w:rsidP="00E47897">
      <w:pPr>
        <w:spacing w:after="0"/>
      </w:pPr>
      <w:r>
        <w:t xml:space="preserve">To meet acute standard = 8.4 mg/L total ammonia nitrogen, 30-day average effluent ammonia nitrogen </w:t>
      </w:r>
      <w:r w:rsidR="008A7CB5">
        <w:t>must be</w:t>
      </w:r>
      <w:r w:rsidR="005F2E31">
        <w:t xml:space="preserve"> less than</w:t>
      </w:r>
      <w:r w:rsidR="008A7CB5">
        <w:t>:</w:t>
      </w:r>
    </w:p>
    <w:p w14:paraId="72E725C4" w14:textId="77777777" w:rsidR="008A7CB5" w:rsidRDefault="008A7CB5" w:rsidP="00E47897">
      <w:pPr>
        <w:spacing w:after="0"/>
      </w:pPr>
    </w:p>
    <w:p w14:paraId="28A0BCB3" w14:textId="77777777" w:rsidR="008A7CB5" w:rsidRDefault="00F202C5" w:rsidP="00E47897">
      <w:pPr>
        <w:spacing w:after="0"/>
      </w:pPr>
      <m:oMathPara>
        <m:oMath>
          <m:sSub>
            <m:sSubPr>
              <m:ctrlPr>
                <w:rPr>
                  <w:rFonts w:ascii="Cambria Math" w:hAnsi="Cambria Math"/>
                  <w:i/>
                </w:rPr>
              </m:ctrlPr>
            </m:sSubPr>
            <m:e>
              <m:r>
                <w:rPr>
                  <w:rFonts w:ascii="Cambria Math" w:hAnsi="Cambria Math"/>
                </w:rPr>
                <m:t>C</m:t>
              </m:r>
            </m:e>
            <m:sub>
              <m:r>
                <w:rPr>
                  <w:rFonts w:ascii="Cambria Math" w:hAnsi="Cambria Math"/>
                </w:rPr>
                <m:t>w</m:t>
              </m:r>
            </m:sub>
          </m:sSub>
          <m:r>
            <w:rPr>
              <w:rFonts w:ascii="Cambria Math" w:hAnsi="Cambria Math"/>
            </w:rPr>
            <m:t>=</m:t>
          </m:r>
          <m:f>
            <m:fPr>
              <m:ctrlPr>
                <w:rPr>
                  <w:rFonts w:ascii="Cambria Math" w:hAnsi="Cambria Math"/>
                  <w:i/>
                </w:rPr>
              </m:ctrlPr>
            </m:fPr>
            <m:num>
              <m:r>
                <w:rPr>
                  <w:rFonts w:ascii="Cambria Math" w:hAnsi="Cambria Math"/>
                </w:rPr>
                <m:t>8.4*1.54-0.53*0.54</m:t>
              </m:r>
            </m:num>
            <m:den>
              <m:r>
                <w:rPr>
                  <w:rFonts w:ascii="Cambria Math" w:hAnsi="Cambria Math"/>
                </w:rPr>
                <m:t>1</m:t>
              </m:r>
            </m:den>
          </m:f>
          <m:r>
            <w:rPr>
              <w:rFonts w:ascii="Cambria Math" w:hAnsi="Cambria Math"/>
            </w:rPr>
            <m:t>=12.6 mg/l</m:t>
          </m:r>
        </m:oMath>
      </m:oMathPara>
    </w:p>
    <w:p w14:paraId="3973F977" w14:textId="77777777" w:rsidR="008A7CB5" w:rsidRDefault="008A7CB5" w:rsidP="00E47897">
      <w:pPr>
        <w:spacing w:after="0"/>
      </w:pPr>
    </w:p>
    <w:p w14:paraId="31362D49" w14:textId="77777777" w:rsidR="008A7CB5" w:rsidRDefault="00862B68" w:rsidP="00E47897">
      <w:pPr>
        <w:spacing w:after="0"/>
      </w:pPr>
      <w:r w:rsidRPr="000675BE">
        <w:rPr>
          <w:b/>
        </w:rPr>
        <w:t>This is no problem for the Longmont WWTP</w:t>
      </w:r>
      <w:r w:rsidR="000675BE">
        <w:rPr>
          <w:b/>
        </w:rPr>
        <w:t xml:space="preserve"> to meet the acute WQS for ammonia</w:t>
      </w:r>
      <w:r w:rsidRPr="000675BE">
        <w:rPr>
          <w:b/>
        </w:rPr>
        <w:t>.</w:t>
      </w:r>
      <w:r>
        <w:t xml:space="preserve"> This highest </w:t>
      </w:r>
      <w:proofErr w:type="gramStart"/>
      <w:r>
        <w:t>ever reported</w:t>
      </w:r>
      <w:proofErr w:type="gramEnd"/>
      <w:r>
        <w:t xml:space="preserve"> daily value for total ammonia nitrogen is 7.74 mg/l, and more relevant to the permit, the highest 30-day average value was 1.56 mg/l, significantly below where a WQS-based effluent limit would be set.</w:t>
      </w:r>
    </w:p>
    <w:p w14:paraId="0674284F" w14:textId="77777777" w:rsidR="00862B68" w:rsidRDefault="00862B68" w:rsidP="00E47897">
      <w:pPr>
        <w:spacing w:after="0"/>
      </w:pPr>
    </w:p>
    <w:p w14:paraId="313B098F" w14:textId="77777777" w:rsidR="00862B68" w:rsidRDefault="00862B68" w:rsidP="00E47897">
      <w:pPr>
        <w:spacing w:after="0"/>
      </w:pPr>
      <w:r>
        <w:t>The chronic standard is another story.</w:t>
      </w:r>
    </w:p>
    <w:p w14:paraId="40EA88E4" w14:textId="77777777" w:rsidR="00862B68" w:rsidRDefault="00862B68" w:rsidP="00E47897">
      <w:pPr>
        <w:spacing w:after="0"/>
      </w:pPr>
    </w:p>
    <w:p w14:paraId="009279C9" w14:textId="77777777" w:rsidR="00862B68" w:rsidRDefault="00F202C5" w:rsidP="00E47897">
      <w:pPr>
        <w:spacing w:after="0"/>
      </w:pPr>
      <m:oMathPara>
        <m:oMath>
          <m:sSub>
            <m:sSubPr>
              <m:ctrlPr>
                <w:rPr>
                  <w:rFonts w:ascii="Cambria Math" w:hAnsi="Cambria Math"/>
                  <w:i/>
                </w:rPr>
              </m:ctrlPr>
            </m:sSubPr>
            <m:e>
              <m:r>
                <w:rPr>
                  <w:rFonts w:ascii="Cambria Math" w:hAnsi="Cambria Math"/>
                </w:rPr>
                <m:t>C</m:t>
              </m:r>
            </m:e>
            <m:sub>
              <m:r>
                <w:rPr>
                  <w:rFonts w:ascii="Cambria Math" w:hAnsi="Cambria Math"/>
                </w:rPr>
                <m:t>w</m:t>
              </m:r>
            </m:sub>
          </m:sSub>
          <m:r>
            <w:rPr>
              <w:rFonts w:ascii="Cambria Math" w:hAnsi="Cambria Math"/>
            </w:rPr>
            <m:t>=</m:t>
          </m:r>
          <m:f>
            <m:fPr>
              <m:ctrlPr>
                <w:rPr>
                  <w:rFonts w:ascii="Cambria Math" w:hAnsi="Cambria Math"/>
                  <w:i/>
                </w:rPr>
              </m:ctrlPr>
            </m:fPr>
            <m:num>
              <m:r>
                <w:rPr>
                  <w:rFonts w:ascii="Cambria Math" w:hAnsi="Cambria Math"/>
                </w:rPr>
                <m:t>0.06*1.54-0.026*0.54</m:t>
              </m:r>
            </m:num>
            <m:den>
              <m:r>
                <w:rPr>
                  <w:rFonts w:ascii="Cambria Math" w:hAnsi="Cambria Math"/>
                </w:rPr>
                <m:t>1</m:t>
              </m:r>
            </m:den>
          </m:f>
          <m:r>
            <w:rPr>
              <w:rFonts w:ascii="Cambria Math" w:hAnsi="Cambria Math"/>
            </w:rPr>
            <m:t>=0.08 mg/l</m:t>
          </m:r>
        </m:oMath>
      </m:oMathPara>
    </w:p>
    <w:p w14:paraId="0E56B72A" w14:textId="77777777" w:rsidR="008A7CB5" w:rsidRDefault="008A7CB5" w:rsidP="00E47897">
      <w:pPr>
        <w:spacing w:after="0"/>
      </w:pPr>
    </w:p>
    <w:p w14:paraId="2FBD8101" w14:textId="2E28154B" w:rsidR="008A7CB5" w:rsidRDefault="003846FB" w:rsidP="00E47897">
      <w:pPr>
        <w:spacing w:after="0"/>
      </w:pPr>
      <w:r>
        <w:t xml:space="preserve">The chronic limit would be associated with a total effluent ammonia limit of </w:t>
      </w:r>
      <w:r w:rsidR="00D477C8">
        <w:t>1.3 mg/l. The plant average total ammonia nitrogen is 1.1 mg/l about 15% less than the WQBEL. More important t</w:t>
      </w:r>
      <w:r w:rsidR="002466D3">
        <w:t>heir 30-day average</w:t>
      </w:r>
      <w:r w:rsidR="00D477C8">
        <w:t xml:space="preserve"> total ammonia nitrogen exceeded the</w:t>
      </w:r>
      <w:r w:rsidR="002466D3">
        <w:t xml:space="preserve"> WQBEL </w:t>
      </w:r>
      <w:r w:rsidR="000F00B0">
        <w:t>for 29 days in April-May 2009</w:t>
      </w:r>
      <w:r w:rsidR="00F202C5">
        <w:t xml:space="preserve"> due to a process upset</w:t>
      </w:r>
      <w:r w:rsidR="000F00B0">
        <w:t xml:space="preserve">. </w:t>
      </w:r>
      <w:r w:rsidR="00F202C5">
        <w:t xml:space="preserve">Overall, in 190 days of data collection, they daily average exceed the chronic limit 20 days, ~10% of the time. </w:t>
      </w:r>
      <w:r w:rsidR="000F00B0" w:rsidRPr="000675BE">
        <w:rPr>
          <w:b/>
        </w:rPr>
        <w:t>Meeting a new WQBEL based on the chronic ammonia standard could be very problematic for the plant</w:t>
      </w:r>
      <w:r w:rsidR="002E6591">
        <w:rPr>
          <w:b/>
        </w:rPr>
        <w:t>, especially if the permit still required meeting the limit every day, rather than a 7- or 30-day average</w:t>
      </w:r>
      <w:proofErr w:type="gramStart"/>
      <w:r w:rsidR="002E6591">
        <w:rPr>
          <w:b/>
        </w:rPr>
        <w:t>.</w:t>
      </w:r>
      <w:r w:rsidR="000F00B0" w:rsidRPr="000675BE">
        <w:rPr>
          <w:b/>
        </w:rPr>
        <w:t>.</w:t>
      </w:r>
      <w:proofErr w:type="gramEnd"/>
    </w:p>
    <w:p w14:paraId="140AD1EE" w14:textId="77777777" w:rsidR="008A7CB5" w:rsidRDefault="008A7CB5" w:rsidP="00E47897">
      <w:pPr>
        <w:spacing w:after="0"/>
      </w:pPr>
    </w:p>
    <w:p w14:paraId="7E244906" w14:textId="77777777" w:rsidR="00E47897" w:rsidRDefault="007D6A7C" w:rsidP="002C4C91">
      <w:pPr>
        <w:pStyle w:val="ListParagraph"/>
        <w:numPr>
          <w:ilvl w:val="0"/>
          <w:numId w:val="2"/>
        </w:numPr>
        <w:spacing w:after="0"/>
      </w:pPr>
      <w:r>
        <w:t xml:space="preserve">For nitrate, the upstream average nitrate-nitrogen concentration is 3.2 mg/l, and the </w:t>
      </w:r>
      <w:r w:rsidR="00751542">
        <w:t xml:space="preserve">calculated </w:t>
      </w:r>
      <w:r w:rsidR="002A6D97">
        <w:t xml:space="preserve">new </w:t>
      </w:r>
      <w:r w:rsidR="00751542">
        <w:t>WQBEL for NO3-N is:</w:t>
      </w:r>
    </w:p>
    <w:p w14:paraId="51125E28" w14:textId="77777777" w:rsidR="00751542" w:rsidRDefault="00751542" w:rsidP="00751542">
      <w:pPr>
        <w:spacing w:after="0"/>
      </w:pPr>
    </w:p>
    <w:p w14:paraId="48B30736" w14:textId="77777777" w:rsidR="00751542" w:rsidRDefault="00F202C5" w:rsidP="00751542">
      <w:pPr>
        <w:spacing w:after="0"/>
      </w:pPr>
      <m:oMathPara>
        <m:oMath>
          <m:sSub>
            <m:sSubPr>
              <m:ctrlPr>
                <w:rPr>
                  <w:rFonts w:ascii="Cambria Math" w:hAnsi="Cambria Math"/>
                  <w:i/>
                </w:rPr>
              </m:ctrlPr>
            </m:sSubPr>
            <m:e>
              <m:r>
                <w:rPr>
                  <w:rFonts w:ascii="Cambria Math" w:hAnsi="Cambria Math"/>
                </w:rPr>
                <m:t>C</m:t>
              </m:r>
            </m:e>
            <m:sub>
              <m:r>
                <w:rPr>
                  <w:rFonts w:ascii="Cambria Math" w:hAnsi="Cambria Math"/>
                </w:rPr>
                <m:t>w</m:t>
              </m:r>
            </m:sub>
          </m:sSub>
          <m:r>
            <w:rPr>
              <w:rFonts w:ascii="Cambria Math" w:hAnsi="Cambria Math"/>
            </w:rPr>
            <m:t>=</m:t>
          </m:r>
          <m:f>
            <m:fPr>
              <m:ctrlPr>
                <w:rPr>
                  <w:rFonts w:ascii="Cambria Math" w:hAnsi="Cambria Math"/>
                  <w:i/>
                </w:rPr>
              </m:ctrlPr>
            </m:fPr>
            <m:num>
              <m:r>
                <w:rPr>
                  <w:rFonts w:ascii="Cambria Math" w:hAnsi="Cambria Math"/>
                </w:rPr>
                <m:t>10*1.54-3.2*0.54</m:t>
              </m:r>
            </m:num>
            <m:den>
              <m:r>
                <w:rPr>
                  <w:rFonts w:ascii="Cambria Math" w:hAnsi="Cambria Math"/>
                </w:rPr>
                <m:t>1</m:t>
              </m:r>
            </m:den>
          </m:f>
          <m:r>
            <w:rPr>
              <w:rFonts w:ascii="Cambria Math" w:hAnsi="Cambria Math"/>
            </w:rPr>
            <m:t>=13.7 mg/l</m:t>
          </m:r>
        </m:oMath>
      </m:oMathPara>
    </w:p>
    <w:p w14:paraId="172884ED" w14:textId="77777777" w:rsidR="00751542" w:rsidRDefault="00751542" w:rsidP="00751542">
      <w:pPr>
        <w:spacing w:after="0"/>
      </w:pPr>
    </w:p>
    <w:p w14:paraId="08803791" w14:textId="77777777" w:rsidR="00E47897" w:rsidRDefault="000675BE" w:rsidP="00E47897">
      <w:pPr>
        <w:spacing w:after="0"/>
      </w:pPr>
      <w:r>
        <w:t xml:space="preserve">The 30-day average for NO3-N exceeded 13.7 mg/l for 25 days in April 2009, not surprisingly when ammonia was low. Also, the overall average effluent NO3-N for the entire data period was 13 mg/l – only 5% lower than the standard.  </w:t>
      </w:r>
      <w:r w:rsidR="00FE6DA3">
        <w:t xml:space="preserve">Moreover, the 30-day average effluent nitrate nitrogen exceeded the WQBEL of 13.7 mg/l on 25 days in April 2009. With current treatment, the plant is in kind of a double bind. As they get better at meeting stringent ammonia WQBEL, their nitrate levels will increase. If a 10 mg/l NO3-N WQS were adopted </w:t>
      </w:r>
      <w:proofErr w:type="gramStart"/>
      <w:r w:rsidR="00FE6DA3">
        <w:t>–  for</w:t>
      </w:r>
      <w:proofErr w:type="gramEnd"/>
      <w:r w:rsidR="00FE6DA3">
        <w:t xml:space="preserve"> example if there was a possibility for the St. </w:t>
      </w:r>
      <w:proofErr w:type="spellStart"/>
      <w:r w:rsidR="00FE6DA3">
        <w:t>Vrain</w:t>
      </w:r>
      <w:proofErr w:type="spellEnd"/>
      <w:r w:rsidR="00FE6DA3">
        <w:t xml:space="preserve"> getting a designated use as a drinking water supply, it would be very difficult for the Longmont WWTP to meet the new WQBEL for nitrate.</w:t>
      </w:r>
    </w:p>
    <w:p w14:paraId="39E06362" w14:textId="77777777" w:rsidR="00E47897" w:rsidRDefault="00E47897" w:rsidP="00E47897">
      <w:pPr>
        <w:spacing w:after="0"/>
      </w:pPr>
    </w:p>
    <w:p w14:paraId="705178CC" w14:textId="77777777" w:rsidR="00E47897" w:rsidRDefault="00E47897" w:rsidP="00E47897">
      <w:pPr>
        <w:spacing w:after="0"/>
      </w:pPr>
    </w:p>
    <w:p w14:paraId="328C7246" w14:textId="35CD8991" w:rsidR="00A35ACD" w:rsidRDefault="00A35ACD" w:rsidP="00E47897">
      <w:pPr>
        <w:spacing w:after="0"/>
      </w:pPr>
      <w:r>
        <w:rPr>
          <w:noProof/>
        </w:rPr>
        <w:drawing>
          <wp:inline distT="0" distB="0" distL="0" distR="0" wp14:anchorId="292352C6" wp14:editId="542C08BB">
            <wp:extent cx="5486400" cy="3919855"/>
            <wp:effectExtent l="0" t="0" r="25400" b="1714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108C53D" w14:textId="77777777" w:rsidR="00A35ACD" w:rsidRDefault="00A35ACD" w:rsidP="00E47897">
      <w:pPr>
        <w:spacing w:after="0"/>
      </w:pPr>
    </w:p>
    <w:p w14:paraId="139E1B51" w14:textId="77777777" w:rsidR="00A35ACD" w:rsidRDefault="00A35ACD" w:rsidP="00E47897">
      <w:pPr>
        <w:spacing w:after="0"/>
      </w:pPr>
    </w:p>
    <w:p w14:paraId="338AA886" w14:textId="555AF196" w:rsidR="00A35ACD" w:rsidRDefault="00A35ACD" w:rsidP="00E47897">
      <w:pPr>
        <w:spacing w:after="0"/>
      </w:pPr>
    </w:p>
    <w:p w14:paraId="00940DEB" w14:textId="77777777" w:rsidR="00E47897" w:rsidRDefault="00BD1DCB" w:rsidP="002801B2">
      <w:pPr>
        <w:pStyle w:val="ListParagraph"/>
        <w:numPr>
          <w:ilvl w:val="0"/>
          <w:numId w:val="2"/>
        </w:numPr>
        <w:spacing w:after="0"/>
      </w:pPr>
      <w:r>
        <w:t>Effluent fecal coliform has two permit limits: 30-day average &lt; 251 CFU/100 ml and 7-day average &lt; 502 CFU/100 ml.  The plant would have no problem meeting either of these standards, as well as new standards based on E. coli, by either conversion estimation method.</w:t>
      </w:r>
    </w:p>
    <w:p w14:paraId="4AE6A1C0" w14:textId="77777777" w:rsidR="00E47897" w:rsidRDefault="00E47897" w:rsidP="00E47897">
      <w:pPr>
        <w:spacing w:after="0"/>
      </w:pPr>
    </w:p>
    <w:p w14:paraId="05ED8759" w14:textId="77777777" w:rsidR="00A35ACD" w:rsidRDefault="00A35ACD" w:rsidP="00E47897">
      <w:pPr>
        <w:spacing w:after="0"/>
      </w:pPr>
    </w:p>
    <w:p w14:paraId="046E036E" w14:textId="77777777" w:rsidR="00A35ACD" w:rsidRDefault="00A35ACD" w:rsidP="00E47897">
      <w:pPr>
        <w:spacing w:after="0"/>
      </w:pPr>
    </w:p>
    <w:p w14:paraId="0B8638E1" w14:textId="77777777" w:rsidR="00A35ACD" w:rsidRDefault="00A35ACD" w:rsidP="00E47897">
      <w:pPr>
        <w:spacing w:after="0"/>
      </w:pPr>
    </w:p>
    <w:tbl>
      <w:tblPr>
        <w:tblStyle w:val="TableGrid"/>
        <w:tblW w:w="9918" w:type="dxa"/>
        <w:tblLook w:val="04A0" w:firstRow="1" w:lastRow="0" w:firstColumn="1" w:lastColumn="0" w:noHBand="0" w:noVBand="1"/>
      </w:tblPr>
      <w:tblGrid>
        <w:gridCol w:w="4698"/>
        <w:gridCol w:w="1260"/>
        <w:gridCol w:w="1980"/>
        <w:gridCol w:w="1980"/>
      </w:tblGrid>
      <w:tr w:rsidR="00BB3B87" w:rsidRPr="00BB3B87" w14:paraId="6852B38B" w14:textId="77777777" w:rsidTr="00BB3B87">
        <w:tc>
          <w:tcPr>
            <w:tcW w:w="4698" w:type="dxa"/>
          </w:tcPr>
          <w:p w14:paraId="0CD81121" w14:textId="77777777" w:rsidR="00BB3B87" w:rsidRPr="00BB3B87" w:rsidRDefault="00BB3B87" w:rsidP="00F202C5">
            <w:r>
              <w:t xml:space="preserve">WWTP </w:t>
            </w:r>
            <w:r w:rsidRPr="00BB3B87">
              <w:t>Data</w:t>
            </w:r>
          </w:p>
        </w:tc>
        <w:tc>
          <w:tcPr>
            <w:tcW w:w="1260" w:type="dxa"/>
          </w:tcPr>
          <w:p w14:paraId="5815DDC7" w14:textId="77777777" w:rsidR="00BB3B87" w:rsidRPr="00BB3B87" w:rsidRDefault="00BB3B87" w:rsidP="00BB3B87">
            <w:pPr>
              <w:jc w:val="center"/>
            </w:pPr>
            <w:r w:rsidRPr="00BB3B87">
              <w:t>Fecal Coliform</w:t>
            </w:r>
          </w:p>
        </w:tc>
        <w:tc>
          <w:tcPr>
            <w:tcW w:w="1980" w:type="dxa"/>
          </w:tcPr>
          <w:p w14:paraId="59E9FD5F" w14:textId="77777777" w:rsidR="00BB3B87" w:rsidRDefault="00BB3B87" w:rsidP="00BB3B87">
            <w:pPr>
              <w:jc w:val="center"/>
            </w:pPr>
            <w:r w:rsidRPr="00BB3B87">
              <w:t xml:space="preserve">E. </w:t>
            </w:r>
            <w:proofErr w:type="gramStart"/>
            <w:r w:rsidRPr="00BB3B87">
              <w:t>coli</w:t>
            </w:r>
            <w:proofErr w:type="gramEnd"/>
            <w:r w:rsidRPr="00BB3B87">
              <w:t xml:space="preserve"> </w:t>
            </w:r>
          </w:p>
          <w:p w14:paraId="00AA1CCD" w14:textId="77777777" w:rsidR="00BB3B87" w:rsidRPr="00BB3B87" w:rsidRDefault="00BB3B87" w:rsidP="00BB3B87">
            <w:pPr>
              <w:jc w:val="center"/>
            </w:pPr>
            <w:r w:rsidRPr="00BB3B87">
              <w:t>(0.63 conversion)</w:t>
            </w:r>
          </w:p>
        </w:tc>
        <w:tc>
          <w:tcPr>
            <w:tcW w:w="1980" w:type="dxa"/>
          </w:tcPr>
          <w:p w14:paraId="191F9E8B" w14:textId="77777777" w:rsidR="00BB3B87" w:rsidRDefault="00BB3B87" w:rsidP="00BB3B87">
            <w:pPr>
              <w:jc w:val="center"/>
            </w:pPr>
            <w:r w:rsidRPr="00BB3B87">
              <w:t xml:space="preserve">E. </w:t>
            </w:r>
            <w:proofErr w:type="gramStart"/>
            <w:r w:rsidRPr="00BB3B87">
              <w:t>coli</w:t>
            </w:r>
            <w:proofErr w:type="gramEnd"/>
            <w:r w:rsidRPr="00BB3B87">
              <w:t xml:space="preserve"> </w:t>
            </w:r>
          </w:p>
          <w:p w14:paraId="6D120B91" w14:textId="77777777" w:rsidR="00BB3B87" w:rsidRPr="00BB3B87" w:rsidRDefault="00BB3B87" w:rsidP="00BB3B87">
            <w:pPr>
              <w:jc w:val="center"/>
            </w:pPr>
            <w:r w:rsidRPr="00BB3B87">
              <w:t>(0.77 conversion)</w:t>
            </w:r>
          </w:p>
        </w:tc>
      </w:tr>
      <w:tr w:rsidR="00BB3B87" w:rsidRPr="00BB3B87" w14:paraId="4E9453A3" w14:textId="77777777" w:rsidTr="00BB3B87">
        <w:tc>
          <w:tcPr>
            <w:tcW w:w="4698" w:type="dxa"/>
          </w:tcPr>
          <w:p w14:paraId="47BED973" w14:textId="77777777" w:rsidR="00BB3B87" w:rsidRPr="00BB3B87" w:rsidRDefault="00BB3B87" w:rsidP="00F202C5">
            <w:r w:rsidRPr="00BB3B87">
              <w:t>Plant effluent fecal coliform (</w:t>
            </w:r>
            <w:proofErr w:type="spellStart"/>
            <w:r w:rsidRPr="00BB3B87">
              <w:t>avg</w:t>
            </w:r>
            <w:proofErr w:type="spellEnd"/>
            <w:r w:rsidRPr="00BB3B87">
              <w:t xml:space="preserve"> CFU/100 ml)</w:t>
            </w:r>
          </w:p>
        </w:tc>
        <w:tc>
          <w:tcPr>
            <w:tcW w:w="1260" w:type="dxa"/>
          </w:tcPr>
          <w:p w14:paraId="7FA8F793" w14:textId="77777777" w:rsidR="00BB3B87" w:rsidRPr="00BB3B87" w:rsidRDefault="00BB3B87" w:rsidP="00BB3B87">
            <w:pPr>
              <w:jc w:val="center"/>
            </w:pPr>
            <w:r w:rsidRPr="00BB3B87">
              <w:t>28</w:t>
            </w:r>
          </w:p>
        </w:tc>
        <w:tc>
          <w:tcPr>
            <w:tcW w:w="1980" w:type="dxa"/>
          </w:tcPr>
          <w:p w14:paraId="102ECAB3" w14:textId="77777777" w:rsidR="00BB3B87" w:rsidRPr="00BB3B87" w:rsidRDefault="00BB3B87" w:rsidP="00BB3B87">
            <w:pPr>
              <w:jc w:val="center"/>
            </w:pPr>
            <w:r w:rsidRPr="00BB3B87">
              <w:t>18</w:t>
            </w:r>
          </w:p>
        </w:tc>
        <w:tc>
          <w:tcPr>
            <w:tcW w:w="1980" w:type="dxa"/>
          </w:tcPr>
          <w:p w14:paraId="6E22F816" w14:textId="77777777" w:rsidR="00BB3B87" w:rsidRPr="00BB3B87" w:rsidRDefault="00BB3B87" w:rsidP="00BB3B87">
            <w:pPr>
              <w:jc w:val="center"/>
            </w:pPr>
            <w:r w:rsidRPr="00BB3B87">
              <w:t>22</w:t>
            </w:r>
          </w:p>
        </w:tc>
      </w:tr>
      <w:tr w:rsidR="00BB3B87" w:rsidRPr="00BB3B87" w14:paraId="6F475BB5" w14:textId="77777777" w:rsidTr="00BB3B87">
        <w:tc>
          <w:tcPr>
            <w:tcW w:w="4698" w:type="dxa"/>
          </w:tcPr>
          <w:p w14:paraId="2B596092" w14:textId="77777777" w:rsidR="00BB3B87" w:rsidRPr="00BB3B87" w:rsidRDefault="00BB3B87" w:rsidP="00F202C5">
            <w:r w:rsidRPr="00BB3B87">
              <w:t xml:space="preserve">Plant effluent fecal coliform (max 30-d </w:t>
            </w:r>
            <w:proofErr w:type="spellStart"/>
            <w:r w:rsidRPr="00BB3B87">
              <w:t>avg</w:t>
            </w:r>
            <w:proofErr w:type="spellEnd"/>
            <w:r w:rsidRPr="00BB3B87">
              <w:t xml:space="preserve"> CFU/100 ml)</w:t>
            </w:r>
          </w:p>
        </w:tc>
        <w:tc>
          <w:tcPr>
            <w:tcW w:w="1260" w:type="dxa"/>
          </w:tcPr>
          <w:p w14:paraId="1EDA780A" w14:textId="77777777" w:rsidR="00BB3B87" w:rsidRPr="00BB3B87" w:rsidRDefault="00BB3B87" w:rsidP="00BB3B87">
            <w:pPr>
              <w:jc w:val="center"/>
            </w:pPr>
            <w:r w:rsidRPr="00BB3B87">
              <w:t>60</w:t>
            </w:r>
          </w:p>
        </w:tc>
        <w:tc>
          <w:tcPr>
            <w:tcW w:w="1980" w:type="dxa"/>
          </w:tcPr>
          <w:p w14:paraId="3E3BD78C" w14:textId="77777777" w:rsidR="00BB3B87" w:rsidRPr="00BB3B87" w:rsidRDefault="00BB3B87" w:rsidP="00BB3B87">
            <w:pPr>
              <w:jc w:val="center"/>
            </w:pPr>
            <w:r w:rsidRPr="00BB3B87">
              <w:t>38</w:t>
            </w:r>
          </w:p>
        </w:tc>
        <w:tc>
          <w:tcPr>
            <w:tcW w:w="1980" w:type="dxa"/>
          </w:tcPr>
          <w:p w14:paraId="18C8ED61" w14:textId="77777777" w:rsidR="00BB3B87" w:rsidRPr="00BB3B87" w:rsidRDefault="00BB3B87" w:rsidP="00BB3B87">
            <w:pPr>
              <w:jc w:val="center"/>
            </w:pPr>
            <w:r w:rsidRPr="00BB3B87">
              <w:t>46</w:t>
            </w:r>
          </w:p>
        </w:tc>
      </w:tr>
      <w:tr w:rsidR="00BB3B87" w:rsidRPr="00BB3B87" w14:paraId="25483C6C" w14:textId="77777777" w:rsidTr="00BB3B87">
        <w:tc>
          <w:tcPr>
            <w:tcW w:w="4698" w:type="dxa"/>
          </w:tcPr>
          <w:p w14:paraId="1F9614CF" w14:textId="77777777" w:rsidR="00BB3B87" w:rsidRPr="00BB3B87" w:rsidRDefault="00BB3B87" w:rsidP="00F202C5">
            <w:r w:rsidRPr="00BB3B87">
              <w:t xml:space="preserve">Plant effluent fecal coliform (max 7-d </w:t>
            </w:r>
            <w:proofErr w:type="spellStart"/>
            <w:r w:rsidRPr="00BB3B87">
              <w:t>avg</w:t>
            </w:r>
            <w:proofErr w:type="spellEnd"/>
            <w:r w:rsidRPr="00BB3B87">
              <w:t xml:space="preserve"> CFU/100 ml)</w:t>
            </w:r>
          </w:p>
        </w:tc>
        <w:tc>
          <w:tcPr>
            <w:tcW w:w="1260" w:type="dxa"/>
          </w:tcPr>
          <w:p w14:paraId="5BA90BF5" w14:textId="77777777" w:rsidR="00BB3B87" w:rsidRPr="00BB3B87" w:rsidRDefault="00BB3B87" w:rsidP="00BB3B87">
            <w:pPr>
              <w:jc w:val="center"/>
            </w:pPr>
            <w:r w:rsidRPr="00BB3B87">
              <w:t>117</w:t>
            </w:r>
          </w:p>
        </w:tc>
        <w:tc>
          <w:tcPr>
            <w:tcW w:w="1980" w:type="dxa"/>
          </w:tcPr>
          <w:p w14:paraId="7F3CB022" w14:textId="77777777" w:rsidR="00BB3B87" w:rsidRPr="00BB3B87" w:rsidRDefault="00BB3B87" w:rsidP="00BB3B87">
            <w:pPr>
              <w:jc w:val="center"/>
            </w:pPr>
            <w:r w:rsidRPr="00BB3B87">
              <w:t>74</w:t>
            </w:r>
          </w:p>
        </w:tc>
        <w:tc>
          <w:tcPr>
            <w:tcW w:w="1980" w:type="dxa"/>
          </w:tcPr>
          <w:p w14:paraId="563E0B66" w14:textId="77777777" w:rsidR="00BB3B87" w:rsidRPr="00BB3B87" w:rsidRDefault="00BB3B87" w:rsidP="00BB3B87">
            <w:pPr>
              <w:jc w:val="center"/>
            </w:pPr>
            <w:r w:rsidRPr="00BB3B87">
              <w:t>90</w:t>
            </w:r>
          </w:p>
        </w:tc>
      </w:tr>
    </w:tbl>
    <w:p w14:paraId="5F42B215" w14:textId="77777777" w:rsidR="00F67491" w:rsidRDefault="00F67491" w:rsidP="00E47897">
      <w:pPr>
        <w:spacing w:after="0"/>
      </w:pPr>
    </w:p>
    <w:p w14:paraId="1CB6A7F9" w14:textId="77777777" w:rsidR="00E47897" w:rsidRDefault="00F67491" w:rsidP="00E47897">
      <w:pPr>
        <w:spacing w:after="0"/>
      </w:pPr>
      <w:r>
        <w:t xml:space="preserve">Estimated discharge E. coli limits for 30-day average based on conversion of 251 CFU/100 ml fecal coliform </w:t>
      </w:r>
      <w:proofErr w:type="gramStart"/>
      <w:r>
        <w:t>limit</w:t>
      </w:r>
      <w:proofErr w:type="gramEnd"/>
      <w:r>
        <w:t xml:space="preserve"> would be 158 CFU/100 ml or 193 CFU/100 ml, depending on which conversion factor was used. For the 7-day average effluent limit, 502 CFU/100 ml fecal coliform, the new 7-day averages would be316 CFU/100 ml or 387 CFU/100 ml depending on which conversion factor was used. </w:t>
      </w:r>
      <w:r w:rsidRPr="002D0F04">
        <w:rPr>
          <w:b/>
        </w:rPr>
        <w:t>In all cases: 30-day and 7-day average effluent limits, regardless of conversion factor</w:t>
      </w:r>
      <w:r w:rsidR="002D0F04" w:rsidRPr="002D0F04">
        <w:rPr>
          <w:b/>
        </w:rPr>
        <w:t xml:space="preserve"> used to estimate E. coli</w:t>
      </w:r>
      <w:r w:rsidRPr="002D0F04">
        <w:rPr>
          <w:b/>
        </w:rPr>
        <w:t xml:space="preserve">, the Longmont WWTP would have no problem meeting </w:t>
      </w:r>
      <w:r w:rsidR="002D0F04" w:rsidRPr="002D0F04">
        <w:rPr>
          <w:b/>
        </w:rPr>
        <w:t>an E</w:t>
      </w:r>
      <w:r w:rsidRPr="002D0F04">
        <w:rPr>
          <w:b/>
        </w:rPr>
        <w:t>. coli based limit, just as it has no problem meeting the current fecal coliform limit.</w:t>
      </w:r>
      <w:r>
        <w:t xml:space="preserve"> </w:t>
      </w:r>
    </w:p>
    <w:p w14:paraId="2656B4DB" w14:textId="77777777" w:rsidR="00E47897" w:rsidRDefault="00495889" w:rsidP="00495889">
      <w:r>
        <w:br w:type="page"/>
      </w:r>
    </w:p>
    <w:p w14:paraId="6764EE47" w14:textId="77777777" w:rsidR="00E47897" w:rsidRDefault="002D0F04" w:rsidP="002D0F04">
      <w:pPr>
        <w:pStyle w:val="ListParagraph"/>
        <w:numPr>
          <w:ilvl w:val="0"/>
          <w:numId w:val="1"/>
        </w:numPr>
        <w:spacing w:after="0"/>
      </w:pPr>
      <w:r>
        <w:lastRenderedPageBreak/>
        <w:t>Factors to consider</w:t>
      </w:r>
      <w:r w:rsidR="00495889">
        <w:t xml:space="preserve"> (by no means </w:t>
      </w:r>
      <w:r w:rsidR="00B6430B">
        <w:t xml:space="preserve">an </w:t>
      </w:r>
      <w:r w:rsidR="00495889">
        <w:t>exhaustive list)</w:t>
      </w:r>
      <w:r>
        <w:t>.</w:t>
      </w:r>
    </w:p>
    <w:p w14:paraId="261606E4" w14:textId="77777777" w:rsidR="002D0F04" w:rsidRDefault="002D0F04" w:rsidP="002D0F04">
      <w:pPr>
        <w:spacing w:after="0"/>
      </w:pPr>
    </w:p>
    <w:p w14:paraId="36131E4A" w14:textId="77777777" w:rsidR="002D0F04" w:rsidRDefault="002D0F04" w:rsidP="002D0F04">
      <w:pPr>
        <w:spacing w:after="0"/>
      </w:pPr>
      <w:r>
        <w:t xml:space="preserve">Technology-based effluent limits (TBELs):  </w:t>
      </w:r>
    </w:p>
    <w:tbl>
      <w:tblPr>
        <w:tblStyle w:val="TableGrid"/>
        <w:tblW w:w="0" w:type="auto"/>
        <w:tblLook w:val="04A0" w:firstRow="1" w:lastRow="0" w:firstColumn="1" w:lastColumn="0" w:noHBand="0" w:noVBand="1"/>
      </w:tblPr>
      <w:tblGrid>
        <w:gridCol w:w="4788"/>
        <w:gridCol w:w="4788"/>
      </w:tblGrid>
      <w:tr w:rsidR="00495889" w:rsidRPr="00495889" w14:paraId="29FE99CA" w14:textId="77777777" w:rsidTr="00495889">
        <w:tc>
          <w:tcPr>
            <w:tcW w:w="4788" w:type="dxa"/>
          </w:tcPr>
          <w:p w14:paraId="167DBEF9" w14:textId="77777777" w:rsidR="00495889" w:rsidRPr="00495889" w:rsidRDefault="00495889" w:rsidP="00F202C5">
            <w:r w:rsidRPr="00495889">
              <w:t>Merits</w:t>
            </w:r>
          </w:p>
        </w:tc>
        <w:tc>
          <w:tcPr>
            <w:tcW w:w="4788" w:type="dxa"/>
          </w:tcPr>
          <w:p w14:paraId="711411DF" w14:textId="77777777" w:rsidR="00495889" w:rsidRPr="00495889" w:rsidRDefault="00495889" w:rsidP="00F202C5">
            <w:r w:rsidRPr="00495889">
              <w:t>Problems</w:t>
            </w:r>
          </w:p>
        </w:tc>
      </w:tr>
      <w:tr w:rsidR="00495889" w:rsidRPr="00495889" w14:paraId="5DA8C0EE" w14:textId="77777777" w:rsidTr="00495889">
        <w:tc>
          <w:tcPr>
            <w:tcW w:w="4788" w:type="dxa"/>
          </w:tcPr>
          <w:p w14:paraId="275EA4F0" w14:textId="77777777" w:rsidR="00495889" w:rsidRPr="00495889" w:rsidRDefault="00495889" w:rsidP="00F202C5">
            <w:r>
              <w:t>Typically national standards which are u</w:t>
            </w:r>
            <w:r w:rsidRPr="00495889">
              <w:t>niform and easy to understand (and hard to contest)</w:t>
            </w:r>
          </w:p>
        </w:tc>
        <w:tc>
          <w:tcPr>
            <w:tcW w:w="4788" w:type="dxa"/>
          </w:tcPr>
          <w:p w14:paraId="74EA5AC2" w14:textId="77777777" w:rsidR="00495889" w:rsidRPr="00495889" w:rsidRDefault="00495889" w:rsidP="00F202C5">
            <w:r w:rsidRPr="00495889">
              <w:t>Do not consider unique receiving water conditions</w:t>
            </w:r>
          </w:p>
        </w:tc>
      </w:tr>
      <w:tr w:rsidR="00495889" w:rsidRPr="00495889" w14:paraId="10E9C2C1" w14:textId="77777777" w:rsidTr="00495889">
        <w:tc>
          <w:tcPr>
            <w:tcW w:w="4788" w:type="dxa"/>
          </w:tcPr>
          <w:p w14:paraId="2DFE5F6D" w14:textId="77777777" w:rsidR="00495889" w:rsidRPr="00495889" w:rsidRDefault="00495889" w:rsidP="00F202C5">
            <w:r w:rsidRPr="00495889">
              <w:t>Achievable with available technology which could consider secondary and tertiary treatment</w:t>
            </w:r>
          </w:p>
        </w:tc>
        <w:tc>
          <w:tcPr>
            <w:tcW w:w="4788" w:type="dxa"/>
          </w:tcPr>
          <w:p w14:paraId="129FA0D5" w14:textId="77777777" w:rsidR="00495889" w:rsidRPr="00495889" w:rsidRDefault="00495889" w:rsidP="00F202C5">
            <w:r>
              <w:t>May induce complacency with current technology</w:t>
            </w:r>
          </w:p>
        </w:tc>
      </w:tr>
      <w:tr w:rsidR="00495889" w:rsidRPr="00495889" w14:paraId="05DA5880" w14:textId="77777777" w:rsidTr="00495889">
        <w:tc>
          <w:tcPr>
            <w:tcW w:w="4788" w:type="dxa"/>
          </w:tcPr>
          <w:p w14:paraId="72E12281" w14:textId="77777777" w:rsidR="00495889" w:rsidRPr="00495889" w:rsidRDefault="00495889" w:rsidP="00F202C5">
            <w:r w:rsidRPr="00495889">
              <w:t>Historically have produced improved water quality</w:t>
            </w:r>
          </w:p>
        </w:tc>
        <w:tc>
          <w:tcPr>
            <w:tcW w:w="4788" w:type="dxa"/>
          </w:tcPr>
          <w:p w14:paraId="41F59823" w14:textId="77777777" w:rsidR="00495889" w:rsidRPr="00495889" w:rsidRDefault="00495889" w:rsidP="00F202C5">
            <w:r w:rsidRPr="00495889">
              <w:t>May not protect very high quality waters with anti-degradation goals</w:t>
            </w:r>
          </w:p>
        </w:tc>
      </w:tr>
      <w:tr w:rsidR="00495889" w:rsidRPr="00495889" w14:paraId="6D02F3DD" w14:textId="77777777" w:rsidTr="00495889">
        <w:tc>
          <w:tcPr>
            <w:tcW w:w="4788" w:type="dxa"/>
          </w:tcPr>
          <w:p w14:paraId="2481DB8D" w14:textId="77777777" w:rsidR="00495889" w:rsidRPr="00495889" w:rsidRDefault="00495889" w:rsidP="00F202C5">
            <w:r w:rsidRPr="00495889">
              <w:t>Consistency produces equal cost burdens on public treatment works</w:t>
            </w:r>
          </w:p>
        </w:tc>
        <w:tc>
          <w:tcPr>
            <w:tcW w:w="4788" w:type="dxa"/>
          </w:tcPr>
          <w:p w14:paraId="24D07AC7" w14:textId="77777777" w:rsidR="00495889" w:rsidRPr="00495889" w:rsidRDefault="00495889" w:rsidP="00F202C5">
            <w:r w:rsidRPr="00495889">
              <w:t>May not be easy to lower standards once they are set</w:t>
            </w:r>
          </w:p>
        </w:tc>
      </w:tr>
      <w:tr w:rsidR="00266A67" w:rsidRPr="00495889" w14:paraId="17F8B65C" w14:textId="77777777" w:rsidTr="00495889">
        <w:tc>
          <w:tcPr>
            <w:tcW w:w="4788" w:type="dxa"/>
          </w:tcPr>
          <w:p w14:paraId="255261BE" w14:textId="77777777" w:rsidR="00266A67" w:rsidRPr="00495889" w:rsidRDefault="00266A67" w:rsidP="00F202C5">
            <w:r>
              <w:t>Non-point source pollution not factored in – WWTPs responsible only for their own effluent</w:t>
            </w:r>
          </w:p>
        </w:tc>
        <w:tc>
          <w:tcPr>
            <w:tcW w:w="4788" w:type="dxa"/>
          </w:tcPr>
          <w:p w14:paraId="647C849F" w14:textId="77777777" w:rsidR="00266A67" w:rsidRPr="00495889" w:rsidRDefault="00266A67" w:rsidP="00F202C5">
            <w:r>
              <w:t>New designated uses such as water reuse are hard to add into permit limits. They become voluntary</w:t>
            </w:r>
          </w:p>
        </w:tc>
      </w:tr>
      <w:tr w:rsidR="00266A67" w:rsidRPr="00495889" w14:paraId="07C97BC7" w14:textId="77777777" w:rsidTr="00495889">
        <w:tc>
          <w:tcPr>
            <w:tcW w:w="4788" w:type="dxa"/>
          </w:tcPr>
          <w:p w14:paraId="3B789ECB" w14:textId="77777777" w:rsidR="00266A67" w:rsidRDefault="00266A67" w:rsidP="00266A67">
            <w:r>
              <w:t>Some improvements such as energy conservation, nutrient recovery, are technology based and could be encourage by TBELs</w:t>
            </w:r>
          </w:p>
        </w:tc>
        <w:tc>
          <w:tcPr>
            <w:tcW w:w="4788" w:type="dxa"/>
          </w:tcPr>
          <w:p w14:paraId="1D70B481" w14:textId="77777777" w:rsidR="00266A67" w:rsidRDefault="00266A67" w:rsidP="00F202C5"/>
        </w:tc>
      </w:tr>
    </w:tbl>
    <w:p w14:paraId="579E3CA3" w14:textId="77777777" w:rsidR="002D0F04" w:rsidRDefault="002D0F04" w:rsidP="002D0F04">
      <w:pPr>
        <w:spacing w:after="0"/>
      </w:pPr>
    </w:p>
    <w:p w14:paraId="6C890DA8" w14:textId="77777777" w:rsidR="00E47897" w:rsidRDefault="002D0F04" w:rsidP="00E47897">
      <w:pPr>
        <w:spacing w:after="0"/>
      </w:pPr>
      <w:r>
        <w:t>Water quality-based effluent limits (WQBELS)</w:t>
      </w:r>
    </w:p>
    <w:tbl>
      <w:tblPr>
        <w:tblStyle w:val="TableGrid"/>
        <w:tblW w:w="0" w:type="auto"/>
        <w:tblLook w:val="04A0" w:firstRow="1" w:lastRow="0" w:firstColumn="1" w:lastColumn="0" w:noHBand="0" w:noVBand="1"/>
      </w:tblPr>
      <w:tblGrid>
        <w:gridCol w:w="4788"/>
        <w:gridCol w:w="4788"/>
      </w:tblGrid>
      <w:tr w:rsidR="00495889" w:rsidRPr="00495889" w14:paraId="7AD6BC03" w14:textId="77777777" w:rsidTr="00495889">
        <w:tc>
          <w:tcPr>
            <w:tcW w:w="4788" w:type="dxa"/>
          </w:tcPr>
          <w:p w14:paraId="60DDDB11" w14:textId="77777777" w:rsidR="00495889" w:rsidRPr="00495889" w:rsidRDefault="00495889" w:rsidP="00F202C5">
            <w:r w:rsidRPr="00495889">
              <w:t>Merits</w:t>
            </w:r>
          </w:p>
        </w:tc>
        <w:tc>
          <w:tcPr>
            <w:tcW w:w="4788" w:type="dxa"/>
          </w:tcPr>
          <w:p w14:paraId="3A2A10E4" w14:textId="77777777" w:rsidR="00495889" w:rsidRPr="00495889" w:rsidRDefault="00495889" w:rsidP="00F202C5">
            <w:r w:rsidRPr="00495889">
              <w:t>Problems</w:t>
            </w:r>
          </w:p>
        </w:tc>
      </w:tr>
      <w:tr w:rsidR="00495889" w:rsidRPr="00495889" w14:paraId="2265C81A" w14:textId="77777777" w:rsidTr="00495889">
        <w:tc>
          <w:tcPr>
            <w:tcW w:w="4788" w:type="dxa"/>
          </w:tcPr>
          <w:p w14:paraId="1AF7C058" w14:textId="77777777" w:rsidR="00495889" w:rsidRPr="00495889" w:rsidRDefault="00495889" w:rsidP="00F202C5">
            <w:r w:rsidRPr="00495889">
              <w:t>Based on scientific knowledge of physical, chemical, biological, ecological factors in particular stream</w:t>
            </w:r>
          </w:p>
        </w:tc>
        <w:tc>
          <w:tcPr>
            <w:tcW w:w="4788" w:type="dxa"/>
          </w:tcPr>
          <w:p w14:paraId="2D9AB02F" w14:textId="77777777" w:rsidR="00495889" w:rsidRPr="00495889" w:rsidRDefault="00495889" w:rsidP="00F202C5">
            <w:r w:rsidRPr="00495889">
              <w:t>Require significant investment in research and many factors and combination of factors may be neglected. Example, alkalinity significantly changes toxicity of heavy metals.</w:t>
            </w:r>
          </w:p>
        </w:tc>
      </w:tr>
      <w:tr w:rsidR="00495889" w:rsidRPr="00495889" w14:paraId="5165A17F" w14:textId="77777777" w:rsidTr="00495889">
        <w:tc>
          <w:tcPr>
            <w:tcW w:w="4788" w:type="dxa"/>
          </w:tcPr>
          <w:p w14:paraId="35BA5CCC" w14:textId="77777777" w:rsidR="00495889" w:rsidRPr="00495889" w:rsidRDefault="00495889" w:rsidP="00F202C5">
            <w:r w:rsidRPr="00495889">
              <w:t xml:space="preserve">Incorporate designated use for most waters (except </w:t>
            </w:r>
            <w:proofErr w:type="spellStart"/>
            <w:r w:rsidRPr="00495889">
              <w:t>antidegradation</w:t>
            </w:r>
            <w:proofErr w:type="spellEnd"/>
            <w:r w:rsidRPr="00495889">
              <w:t xml:space="preserve"> waters) which recognizes human factors</w:t>
            </w:r>
          </w:p>
        </w:tc>
        <w:tc>
          <w:tcPr>
            <w:tcW w:w="4788" w:type="dxa"/>
          </w:tcPr>
          <w:p w14:paraId="4986BF4C" w14:textId="77777777" w:rsidR="00495889" w:rsidRPr="00495889" w:rsidRDefault="00495889" w:rsidP="00F202C5">
            <w:r w:rsidRPr="00495889">
              <w:t>Changes to designated use offers opportunity to downgrade receiving water quality due to economic or social pressure</w:t>
            </w:r>
          </w:p>
        </w:tc>
      </w:tr>
      <w:tr w:rsidR="00495889" w:rsidRPr="00495889" w14:paraId="237898B0" w14:textId="77777777" w:rsidTr="00495889">
        <w:tc>
          <w:tcPr>
            <w:tcW w:w="4788" w:type="dxa"/>
          </w:tcPr>
          <w:p w14:paraId="42F16BA4" w14:textId="77777777" w:rsidR="00495889" w:rsidRPr="00495889" w:rsidRDefault="00495889" w:rsidP="00F202C5">
            <w:r w:rsidRPr="00495889">
              <w:t>WQBELs can change to incorporate new science</w:t>
            </w:r>
          </w:p>
        </w:tc>
        <w:tc>
          <w:tcPr>
            <w:tcW w:w="4788" w:type="dxa"/>
          </w:tcPr>
          <w:p w14:paraId="42BB38A3" w14:textId="77777777" w:rsidR="00495889" w:rsidRPr="00495889" w:rsidRDefault="00495889" w:rsidP="00F202C5">
            <w:r w:rsidRPr="00495889">
              <w:t>Frequent changes (e.g., over 5- or 7-year permit cycle can impose significant hardship on WWTPs where major process changes take place over decadal or longer cycles.</w:t>
            </w:r>
          </w:p>
        </w:tc>
      </w:tr>
      <w:tr w:rsidR="00495889" w:rsidRPr="00495889" w14:paraId="6BFEA5A3" w14:textId="77777777" w:rsidTr="00495889">
        <w:tc>
          <w:tcPr>
            <w:tcW w:w="4788" w:type="dxa"/>
          </w:tcPr>
          <w:p w14:paraId="648658C0" w14:textId="77777777" w:rsidR="00495889" w:rsidRPr="00495889" w:rsidRDefault="00495889" w:rsidP="00F202C5">
            <w:r w:rsidRPr="00495889">
              <w:t>Could inspire new technology based on emerging standards or contaminants</w:t>
            </w:r>
          </w:p>
        </w:tc>
        <w:tc>
          <w:tcPr>
            <w:tcW w:w="4788" w:type="dxa"/>
          </w:tcPr>
          <w:p w14:paraId="11079C2A" w14:textId="77777777" w:rsidR="00495889" w:rsidRPr="00495889" w:rsidRDefault="00495889" w:rsidP="00F202C5"/>
        </w:tc>
      </w:tr>
      <w:tr w:rsidR="00495889" w:rsidRPr="00495889" w14:paraId="103DE33A" w14:textId="77777777" w:rsidTr="00495889">
        <w:tc>
          <w:tcPr>
            <w:tcW w:w="4788" w:type="dxa"/>
          </w:tcPr>
          <w:p w14:paraId="232548C4" w14:textId="77777777" w:rsidR="00495889" w:rsidRPr="00495889" w:rsidRDefault="00495889" w:rsidP="00F202C5">
            <w:r w:rsidRPr="00495889">
              <w:t>Adding new contaminants can be done on a local level</w:t>
            </w:r>
          </w:p>
        </w:tc>
        <w:tc>
          <w:tcPr>
            <w:tcW w:w="4788" w:type="dxa"/>
          </w:tcPr>
          <w:p w14:paraId="68654611" w14:textId="77777777" w:rsidR="00495889" w:rsidRPr="00495889" w:rsidRDefault="00495889" w:rsidP="00F202C5">
            <w:r w:rsidRPr="00495889">
              <w:t xml:space="preserve">Research costs linking contaminants to impacts would be borne locally </w:t>
            </w:r>
          </w:p>
        </w:tc>
      </w:tr>
      <w:tr w:rsidR="00495889" w:rsidRPr="00495889" w14:paraId="01D518D8" w14:textId="77777777" w:rsidTr="00495889">
        <w:tc>
          <w:tcPr>
            <w:tcW w:w="4788" w:type="dxa"/>
          </w:tcPr>
          <w:p w14:paraId="3142F4DF" w14:textId="77777777" w:rsidR="00495889" w:rsidRPr="00495889" w:rsidRDefault="00495889" w:rsidP="00F202C5">
            <w:r>
              <w:t xml:space="preserve">Non-point source </w:t>
            </w:r>
            <w:r w:rsidR="00266A67">
              <w:t xml:space="preserve">(NPS) </w:t>
            </w:r>
            <w:r>
              <w:t>pollution may be factored in</w:t>
            </w:r>
            <w:r w:rsidR="00266A67">
              <w:t xml:space="preserve"> explicitly</w:t>
            </w:r>
          </w:p>
        </w:tc>
        <w:tc>
          <w:tcPr>
            <w:tcW w:w="4788" w:type="dxa"/>
          </w:tcPr>
          <w:p w14:paraId="70B8EFD1" w14:textId="77777777" w:rsidR="00495889" w:rsidRPr="00495889" w:rsidRDefault="00266A67" w:rsidP="00F202C5">
            <w:r>
              <w:t>Utilities bear the cost burden of NPS</w:t>
            </w:r>
          </w:p>
        </w:tc>
      </w:tr>
    </w:tbl>
    <w:p w14:paraId="6726C9F1" w14:textId="77777777" w:rsidR="00E47897" w:rsidRDefault="00E47897" w:rsidP="00E47897">
      <w:pPr>
        <w:spacing w:after="0"/>
      </w:pPr>
    </w:p>
    <w:sectPr w:rsidR="00E47897" w:rsidSect="00CA2A66">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9F7C51" w14:textId="77777777" w:rsidR="00283C2F" w:rsidRDefault="00283C2F" w:rsidP="00D257DA">
      <w:pPr>
        <w:spacing w:after="0" w:line="240" w:lineRule="auto"/>
      </w:pPr>
      <w:r>
        <w:separator/>
      </w:r>
    </w:p>
  </w:endnote>
  <w:endnote w:type="continuationSeparator" w:id="0">
    <w:p w14:paraId="2BA839ED" w14:textId="77777777" w:rsidR="00283C2F" w:rsidRDefault="00283C2F" w:rsidP="00D25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ambria Math">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0957501"/>
      <w:docPartObj>
        <w:docPartGallery w:val="Page Numbers (Bottom of Page)"/>
        <w:docPartUnique/>
      </w:docPartObj>
    </w:sdtPr>
    <w:sdtContent>
      <w:p w14:paraId="28AC1F05" w14:textId="77777777" w:rsidR="00283C2F" w:rsidRDefault="00283C2F">
        <w:pPr>
          <w:pStyle w:val="Footer"/>
          <w:jc w:val="right"/>
        </w:pPr>
        <w:r>
          <w:fldChar w:fldCharType="begin"/>
        </w:r>
        <w:r>
          <w:instrText xml:space="preserve"> PAGE   \* MERGEFORMAT </w:instrText>
        </w:r>
        <w:r>
          <w:fldChar w:fldCharType="separate"/>
        </w:r>
        <w:r w:rsidR="00D6215D">
          <w:rPr>
            <w:noProof/>
          </w:rPr>
          <w:t>2</w:t>
        </w:r>
        <w:r>
          <w:rPr>
            <w:noProof/>
          </w:rPr>
          <w:fldChar w:fldCharType="end"/>
        </w:r>
      </w:p>
    </w:sdtContent>
  </w:sdt>
  <w:p w14:paraId="6E2EB996" w14:textId="77777777" w:rsidR="00283C2F" w:rsidRDefault="00283C2F">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9CB59F" w14:textId="77777777" w:rsidR="00283C2F" w:rsidRDefault="00283C2F" w:rsidP="00D257DA">
      <w:pPr>
        <w:spacing w:after="0" w:line="240" w:lineRule="auto"/>
      </w:pPr>
      <w:r>
        <w:separator/>
      </w:r>
    </w:p>
  </w:footnote>
  <w:footnote w:type="continuationSeparator" w:id="0">
    <w:p w14:paraId="0192D072" w14:textId="77777777" w:rsidR="00283C2F" w:rsidRDefault="00283C2F" w:rsidP="00D257D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7F0371"/>
    <w:multiLevelType w:val="hybridMultilevel"/>
    <w:tmpl w:val="811EEA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4BC13C3"/>
    <w:multiLevelType w:val="hybridMultilevel"/>
    <w:tmpl w:val="B10834A4"/>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E6C"/>
    <w:rsid w:val="000038F5"/>
    <w:rsid w:val="0002705E"/>
    <w:rsid w:val="000675BE"/>
    <w:rsid w:val="000F00B0"/>
    <w:rsid w:val="001F2009"/>
    <w:rsid w:val="002466D3"/>
    <w:rsid w:val="00266A67"/>
    <w:rsid w:val="002801B2"/>
    <w:rsid w:val="00283C2F"/>
    <w:rsid w:val="00294CFC"/>
    <w:rsid w:val="002A6D97"/>
    <w:rsid w:val="002C4C91"/>
    <w:rsid w:val="002D0F04"/>
    <w:rsid w:val="002E6591"/>
    <w:rsid w:val="003846FB"/>
    <w:rsid w:val="004571D3"/>
    <w:rsid w:val="00457642"/>
    <w:rsid w:val="00466938"/>
    <w:rsid w:val="00495889"/>
    <w:rsid w:val="004974C5"/>
    <w:rsid w:val="004D36B0"/>
    <w:rsid w:val="005F2E31"/>
    <w:rsid w:val="00604C24"/>
    <w:rsid w:val="00707E7A"/>
    <w:rsid w:val="007367B4"/>
    <w:rsid w:val="00751542"/>
    <w:rsid w:val="007A5E42"/>
    <w:rsid w:val="007D6A7C"/>
    <w:rsid w:val="00862B68"/>
    <w:rsid w:val="008A5E13"/>
    <w:rsid w:val="008A7CB5"/>
    <w:rsid w:val="0090733E"/>
    <w:rsid w:val="00962B66"/>
    <w:rsid w:val="009648E7"/>
    <w:rsid w:val="00A35ACD"/>
    <w:rsid w:val="00A36C35"/>
    <w:rsid w:val="00AD043E"/>
    <w:rsid w:val="00B24EFF"/>
    <w:rsid w:val="00B6430B"/>
    <w:rsid w:val="00BB3B87"/>
    <w:rsid w:val="00BB542D"/>
    <w:rsid w:val="00BD1DCB"/>
    <w:rsid w:val="00BD4E93"/>
    <w:rsid w:val="00BE06D9"/>
    <w:rsid w:val="00C85CAD"/>
    <w:rsid w:val="00C90E6C"/>
    <w:rsid w:val="00CA2A66"/>
    <w:rsid w:val="00CA726B"/>
    <w:rsid w:val="00D257DA"/>
    <w:rsid w:val="00D477C8"/>
    <w:rsid w:val="00D6215D"/>
    <w:rsid w:val="00E357C7"/>
    <w:rsid w:val="00E3641C"/>
    <w:rsid w:val="00E47897"/>
    <w:rsid w:val="00EA200E"/>
    <w:rsid w:val="00EC6B17"/>
    <w:rsid w:val="00F202C5"/>
    <w:rsid w:val="00F67491"/>
    <w:rsid w:val="00F813E1"/>
    <w:rsid w:val="00F81CA3"/>
    <w:rsid w:val="00FE6D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E6EB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A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0E6C"/>
    <w:pPr>
      <w:ind w:left="720"/>
      <w:contextualSpacing/>
    </w:pPr>
  </w:style>
  <w:style w:type="table" w:styleId="TableGrid">
    <w:name w:val="Table Grid"/>
    <w:basedOn w:val="TableNormal"/>
    <w:uiPriority w:val="59"/>
    <w:rsid w:val="00F813E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478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7897"/>
    <w:rPr>
      <w:rFonts w:ascii="Tahoma" w:hAnsi="Tahoma" w:cs="Tahoma"/>
      <w:sz w:val="16"/>
      <w:szCs w:val="16"/>
    </w:rPr>
  </w:style>
  <w:style w:type="character" w:styleId="PlaceholderText">
    <w:name w:val="Placeholder Text"/>
    <w:basedOn w:val="DefaultParagraphFont"/>
    <w:uiPriority w:val="99"/>
    <w:semiHidden/>
    <w:rsid w:val="00F81CA3"/>
    <w:rPr>
      <w:color w:val="808080"/>
    </w:rPr>
  </w:style>
  <w:style w:type="paragraph" w:styleId="Header">
    <w:name w:val="header"/>
    <w:basedOn w:val="Normal"/>
    <w:link w:val="HeaderChar"/>
    <w:uiPriority w:val="99"/>
    <w:semiHidden/>
    <w:unhideWhenUsed/>
    <w:rsid w:val="00D257D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257DA"/>
  </w:style>
  <w:style w:type="paragraph" w:styleId="Footer">
    <w:name w:val="footer"/>
    <w:basedOn w:val="Normal"/>
    <w:link w:val="FooterChar"/>
    <w:uiPriority w:val="99"/>
    <w:unhideWhenUsed/>
    <w:rsid w:val="00D257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57D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A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0E6C"/>
    <w:pPr>
      <w:ind w:left="720"/>
      <w:contextualSpacing/>
    </w:pPr>
  </w:style>
  <w:style w:type="table" w:styleId="TableGrid">
    <w:name w:val="Table Grid"/>
    <w:basedOn w:val="TableNormal"/>
    <w:uiPriority w:val="59"/>
    <w:rsid w:val="00F813E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478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7897"/>
    <w:rPr>
      <w:rFonts w:ascii="Tahoma" w:hAnsi="Tahoma" w:cs="Tahoma"/>
      <w:sz w:val="16"/>
      <w:szCs w:val="16"/>
    </w:rPr>
  </w:style>
  <w:style w:type="character" w:styleId="PlaceholderText">
    <w:name w:val="Placeholder Text"/>
    <w:basedOn w:val="DefaultParagraphFont"/>
    <w:uiPriority w:val="99"/>
    <w:semiHidden/>
    <w:rsid w:val="00F81CA3"/>
    <w:rPr>
      <w:color w:val="808080"/>
    </w:rPr>
  </w:style>
  <w:style w:type="paragraph" w:styleId="Header">
    <w:name w:val="header"/>
    <w:basedOn w:val="Normal"/>
    <w:link w:val="HeaderChar"/>
    <w:uiPriority w:val="99"/>
    <w:semiHidden/>
    <w:unhideWhenUsed/>
    <w:rsid w:val="00D257D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257DA"/>
  </w:style>
  <w:style w:type="paragraph" w:styleId="Footer">
    <w:name w:val="footer"/>
    <w:basedOn w:val="Normal"/>
    <w:link w:val="FooterChar"/>
    <w:uiPriority w:val="99"/>
    <w:unhideWhenUsed/>
    <w:rsid w:val="00D257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57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chart" Target="charts/chart1.xml"/><Relationship Id="rId9" Type="http://schemas.openxmlformats.org/officeDocument/2006/relationships/chart" Target="charts/chart2.xml"/><Relationship Id="rId10"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silverst:Documents:word_text_pdf%20%20files:word%20files:TEACH:5534:f11:Longmont%20WWTP%20DATA%2009.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Joann%20Silverstein\My%20Documents\word_text_pdf%20%20files\word%20files\TEACH\5534\f10\Longmont%20WWTP%20DATA%20jan-jun%2009.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acintosh%20HD:Users:silverst:Documents:word_text_pdf%20%20files:word%20files:TEACH:5534:f11:Longmont%20WWTP%20DATA%200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114693283531866"/>
          <c:y val="0.0475524475524475"/>
          <c:w val="0.769303620701258"/>
          <c:h val="0.88377159848026"/>
        </c:manualLayout>
      </c:layout>
      <c:lineChart>
        <c:grouping val="standard"/>
        <c:varyColors val="0"/>
        <c:ser>
          <c:idx val="0"/>
          <c:order val="0"/>
          <c:tx>
            <c:strRef>
              <c:f>DATA!$F$3</c:f>
              <c:strCache>
                <c:ptCount val="1"/>
                <c:pt idx="0">
                  <c:v>Inf COD mg/L</c:v>
                </c:pt>
              </c:strCache>
            </c:strRef>
          </c:tx>
          <c:trendline>
            <c:trendlineType val="movingAvg"/>
            <c:period val="7"/>
            <c:dispRSqr val="0"/>
            <c:dispEq val="0"/>
          </c:trendline>
          <c:val>
            <c:numRef>
              <c:f>DATA!$F$5:$F$194</c:f>
              <c:numCache>
                <c:formatCode>General</c:formatCode>
                <c:ptCount val="190"/>
                <c:pt idx="0">
                  <c:v>833.0</c:v>
                </c:pt>
                <c:pt idx="1">
                  <c:v>944.0</c:v>
                </c:pt>
                <c:pt idx="2">
                  <c:v>959.0</c:v>
                </c:pt>
                <c:pt idx="3">
                  <c:v>1240.0</c:v>
                </c:pt>
                <c:pt idx="4">
                  <c:v>1430.0</c:v>
                </c:pt>
                <c:pt idx="5">
                  <c:v>1240.0</c:v>
                </c:pt>
                <c:pt idx="6">
                  <c:v>963.0</c:v>
                </c:pt>
                <c:pt idx="7">
                  <c:v>946.0</c:v>
                </c:pt>
                <c:pt idx="8">
                  <c:v>728.0</c:v>
                </c:pt>
                <c:pt idx="9">
                  <c:v>634.0</c:v>
                </c:pt>
                <c:pt idx="10">
                  <c:v>905.0</c:v>
                </c:pt>
                <c:pt idx="11">
                  <c:v>1020.0</c:v>
                </c:pt>
                <c:pt idx="12">
                  <c:v>1010.0</c:v>
                </c:pt>
                <c:pt idx="13">
                  <c:v>1240.0</c:v>
                </c:pt>
                <c:pt idx="14">
                  <c:v>918.0</c:v>
                </c:pt>
                <c:pt idx="15">
                  <c:v>823.0</c:v>
                </c:pt>
                <c:pt idx="16">
                  <c:v>883.0</c:v>
                </c:pt>
                <c:pt idx="17">
                  <c:v>1050.0</c:v>
                </c:pt>
                <c:pt idx="18">
                  <c:v>896.0</c:v>
                </c:pt>
                <c:pt idx="19">
                  <c:v>1030.0</c:v>
                </c:pt>
                <c:pt idx="20">
                  <c:v>948.0</c:v>
                </c:pt>
                <c:pt idx="21">
                  <c:v>876.0</c:v>
                </c:pt>
                <c:pt idx="22">
                  <c:v>737.0</c:v>
                </c:pt>
                <c:pt idx="23">
                  <c:v>820.0</c:v>
                </c:pt>
                <c:pt idx="24">
                  <c:v>682.0</c:v>
                </c:pt>
                <c:pt idx="25">
                  <c:v>859.0</c:v>
                </c:pt>
                <c:pt idx="26">
                  <c:v>900.0</c:v>
                </c:pt>
                <c:pt idx="27">
                  <c:v>1050.0</c:v>
                </c:pt>
                <c:pt idx="28">
                  <c:v>853.0</c:v>
                </c:pt>
                <c:pt idx="29">
                  <c:v>687.0</c:v>
                </c:pt>
                <c:pt idx="30">
                  <c:v>1010.0</c:v>
                </c:pt>
                <c:pt idx="31">
                  <c:v>908.0</c:v>
                </c:pt>
                <c:pt idx="32">
                  <c:v>830.0</c:v>
                </c:pt>
                <c:pt idx="33">
                  <c:v>887.0</c:v>
                </c:pt>
                <c:pt idx="34">
                  <c:v>847.0</c:v>
                </c:pt>
                <c:pt idx="35">
                  <c:v>643.0</c:v>
                </c:pt>
                <c:pt idx="36">
                  <c:v>830.0</c:v>
                </c:pt>
                <c:pt idx="37">
                  <c:v>581.0</c:v>
                </c:pt>
                <c:pt idx="38">
                  <c:v>787.0</c:v>
                </c:pt>
                <c:pt idx="39">
                  <c:v>695.0</c:v>
                </c:pt>
                <c:pt idx="40">
                  <c:v>727.0</c:v>
                </c:pt>
                <c:pt idx="41">
                  <c:v>848.0</c:v>
                </c:pt>
                <c:pt idx="42">
                  <c:v>832.0</c:v>
                </c:pt>
                <c:pt idx="43">
                  <c:v>83.0</c:v>
                </c:pt>
                <c:pt idx="44">
                  <c:v>840.0</c:v>
                </c:pt>
                <c:pt idx="45">
                  <c:v>724.0</c:v>
                </c:pt>
                <c:pt idx="46">
                  <c:v>754.0</c:v>
                </c:pt>
                <c:pt idx="47">
                  <c:v>780.0</c:v>
                </c:pt>
                <c:pt idx="48">
                  <c:v>996.0</c:v>
                </c:pt>
                <c:pt idx="49">
                  <c:v>734.0</c:v>
                </c:pt>
                <c:pt idx="50">
                  <c:v>707.0</c:v>
                </c:pt>
                <c:pt idx="51">
                  <c:v>794.0</c:v>
                </c:pt>
                <c:pt idx="52">
                  <c:v>912.0</c:v>
                </c:pt>
                <c:pt idx="53">
                  <c:v>838.0</c:v>
                </c:pt>
                <c:pt idx="54">
                  <c:v>785.0</c:v>
                </c:pt>
                <c:pt idx="55">
                  <c:v>809.0</c:v>
                </c:pt>
                <c:pt idx="56">
                  <c:v>751.0</c:v>
                </c:pt>
                <c:pt idx="57">
                  <c:v>652.0</c:v>
                </c:pt>
                <c:pt idx="58">
                  <c:v>927.0</c:v>
                </c:pt>
                <c:pt idx="59">
                  <c:v>717.0</c:v>
                </c:pt>
                <c:pt idx="60">
                  <c:v>807.0</c:v>
                </c:pt>
                <c:pt idx="61">
                  <c:v>813.0</c:v>
                </c:pt>
                <c:pt idx="62">
                  <c:v>921.0</c:v>
                </c:pt>
                <c:pt idx="63">
                  <c:v>842.0</c:v>
                </c:pt>
                <c:pt idx="64">
                  <c:v>730.0</c:v>
                </c:pt>
                <c:pt idx="65">
                  <c:v>577.0</c:v>
                </c:pt>
                <c:pt idx="66">
                  <c:v>731.0</c:v>
                </c:pt>
                <c:pt idx="67">
                  <c:v>887.0</c:v>
                </c:pt>
                <c:pt idx="68">
                  <c:v>826.0</c:v>
                </c:pt>
                <c:pt idx="69">
                  <c:v>833.0</c:v>
                </c:pt>
                <c:pt idx="70">
                  <c:v>812.0</c:v>
                </c:pt>
                <c:pt idx="71">
                  <c:v>881.0</c:v>
                </c:pt>
                <c:pt idx="72">
                  <c:v>955.0</c:v>
                </c:pt>
                <c:pt idx="73">
                  <c:v>1000.0</c:v>
                </c:pt>
                <c:pt idx="74">
                  <c:v>1050.0</c:v>
                </c:pt>
                <c:pt idx="75">
                  <c:v>1010.0</c:v>
                </c:pt>
                <c:pt idx="76">
                  <c:v>1080.0</c:v>
                </c:pt>
                <c:pt idx="77">
                  <c:v>994.0</c:v>
                </c:pt>
                <c:pt idx="78">
                  <c:v>922.0</c:v>
                </c:pt>
                <c:pt idx="79">
                  <c:v>768.0</c:v>
                </c:pt>
                <c:pt idx="80">
                  <c:v>826.0</c:v>
                </c:pt>
                <c:pt idx="81">
                  <c:v>732.0</c:v>
                </c:pt>
                <c:pt idx="83">
                  <c:v>905.0</c:v>
                </c:pt>
                <c:pt idx="84">
                  <c:v>792.0</c:v>
                </c:pt>
                <c:pt idx="85">
                  <c:v>664.0</c:v>
                </c:pt>
                <c:pt idx="86">
                  <c:v>992.0</c:v>
                </c:pt>
                <c:pt idx="87">
                  <c:v>704.0</c:v>
                </c:pt>
                <c:pt idx="88">
                  <c:v>733.0</c:v>
                </c:pt>
                <c:pt idx="89">
                  <c:v>838.0</c:v>
                </c:pt>
                <c:pt idx="90">
                  <c:v>832.0</c:v>
                </c:pt>
                <c:pt idx="91">
                  <c:v>794.0</c:v>
                </c:pt>
                <c:pt idx="92">
                  <c:v>672.0</c:v>
                </c:pt>
                <c:pt idx="93">
                  <c:v>705.0</c:v>
                </c:pt>
                <c:pt idx="94">
                  <c:v>787.0</c:v>
                </c:pt>
                <c:pt idx="95">
                  <c:v>730.0</c:v>
                </c:pt>
                <c:pt idx="96">
                  <c:v>1180.0</c:v>
                </c:pt>
                <c:pt idx="97">
                  <c:v>780.0</c:v>
                </c:pt>
                <c:pt idx="98">
                  <c:v>825.0</c:v>
                </c:pt>
                <c:pt idx="99">
                  <c:v>847.0</c:v>
                </c:pt>
                <c:pt idx="100">
                  <c:v>840.0</c:v>
                </c:pt>
                <c:pt idx="101">
                  <c:v>783.0</c:v>
                </c:pt>
                <c:pt idx="102">
                  <c:v>832.0</c:v>
                </c:pt>
                <c:pt idx="103">
                  <c:v>784.0</c:v>
                </c:pt>
                <c:pt idx="104">
                  <c:v>846.0</c:v>
                </c:pt>
                <c:pt idx="105">
                  <c:v>871.0</c:v>
                </c:pt>
                <c:pt idx="106">
                  <c:v>734.0</c:v>
                </c:pt>
                <c:pt idx="107">
                  <c:v>771.0</c:v>
                </c:pt>
                <c:pt idx="108">
                  <c:v>839.0</c:v>
                </c:pt>
                <c:pt idx="109">
                  <c:v>829.0</c:v>
                </c:pt>
                <c:pt idx="110">
                  <c:v>886.0</c:v>
                </c:pt>
                <c:pt idx="111">
                  <c:v>702.0</c:v>
                </c:pt>
                <c:pt idx="112">
                  <c:v>563.0</c:v>
                </c:pt>
                <c:pt idx="113">
                  <c:v>618.0</c:v>
                </c:pt>
                <c:pt idx="114">
                  <c:v>714.0</c:v>
                </c:pt>
                <c:pt idx="115">
                  <c:v>690.0</c:v>
                </c:pt>
                <c:pt idx="116">
                  <c:v>767.0</c:v>
                </c:pt>
                <c:pt idx="117">
                  <c:v>664.0</c:v>
                </c:pt>
                <c:pt idx="118">
                  <c:v>694.0</c:v>
                </c:pt>
                <c:pt idx="119">
                  <c:v>667.0</c:v>
                </c:pt>
                <c:pt idx="120">
                  <c:v>658.0</c:v>
                </c:pt>
                <c:pt idx="121">
                  <c:v>723.0</c:v>
                </c:pt>
                <c:pt idx="122">
                  <c:v>738.0</c:v>
                </c:pt>
                <c:pt idx="123">
                  <c:v>653.0</c:v>
                </c:pt>
                <c:pt idx="124">
                  <c:v>709.0</c:v>
                </c:pt>
                <c:pt idx="125">
                  <c:v>707.0</c:v>
                </c:pt>
                <c:pt idx="126">
                  <c:v>638.0</c:v>
                </c:pt>
                <c:pt idx="127">
                  <c:v>656.0</c:v>
                </c:pt>
                <c:pt idx="128">
                  <c:v>833.0</c:v>
                </c:pt>
                <c:pt idx="129">
                  <c:v>1080.0</c:v>
                </c:pt>
                <c:pt idx="130">
                  <c:v>723.0</c:v>
                </c:pt>
                <c:pt idx="131">
                  <c:v>672.0</c:v>
                </c:pt>
                <c:pt idx="132">
                  <c:v>638.0</c:v>
                </c:pt>
                <c:pt idx="133">
                  <c:v>697.0</c:v>
                </c:pt>
                <c:pt idx="134">
                  <c:v>597.0</c:v>
                </c:pt>
                <c:pt idx="135">
                  <c:v>788.0</c:v>
                </c:pt>
                <c:pt idx="136">
                  <c:v>775.0</c:v>
                </c:pt>
                <c:pt idx="137">
                  <c:v>732.0</c:v>
                </c:pt>
                <c:pt idx="138">
                  <c:v>1110.0</c:v>
                </c:pt>
                <c:pt idx="139">
                  <c:v>845.0</c:v>
                </c:pt>
                <c:pt idx="140">
                  <c:v>739.0</c:v>
                </c:pt>
                <c:pt idx="141">
                  <c:v>746.0</c:v>
                </c:pt>
                <c:pt idx="142">
                  <c:v>969.0</c:v>
                </c:pt>
                <c:pt idx="143">
                  <c:v>1090.0</c:v>
                </c:pt>
                <c:pt idx="144">
                  <c:v>919.0</c:v>
                </c:pt>
                <c:pt idx="145">
                  <c:v>809.0</c:v>
                </c:pt>
                <c:pt idx="146">
                  <c:v>778.0</c:v>
                </c:pt>
                <c:pt idx="147">
                  <c:v>816.0</c:v>
                </c:pt>
                <c:pt idx="148">
                  <c:v>557.0</c:v>
                </c:pt>
                <c:pt idx="149">
                  <c:v>681.0</c:v>
                </c:pt>
                <c:pt idx="150">
                  <c:v>928.0</c:v>
                </c:pt>
                <c:pt idx="151">
                  <c:v>758.0</c:v>
                </c:pt>
                <c:pt idx="152">
                  <c:v>672.0</c:v>
                </c:pt>
                <c:pt idx="153">
                  <c:v>663.0</c:v>
                </c:pt>
                <c:pt idx="154">
                  <c:v>602.0</c:v>
                </c:pt>
                <c:pt idx="155">
                  <c:v>608.0</c:v>
                </c:pt>
                <c:pt idx="156">
                  <c:v>707.0</c:v>
                </c:pt>
                <c:pt idx="157">
                  <c:v>672.0</c:v>
                </c:pt>
                <c:pt idx="158">
                  <c:v>811.0</c:v>
                </c:pt>
                <c:pt idx="159">
                  <c:v>791.0</c:v>
                </c:pt>
                <c:pt idx="160">
                  <c:v>895.0</c:v>
                </c:pt>
                <c:pt idx="161">
                  <c:v>664.0</c:v>
                </c:pt>
                <c:pt idx="162">
                  <c:v>705.0</c:v>
                </c:pt>
                <c:pt idx="163">
                  <c:v>832.0</c:v>
                </c:pt>
                <c:pt idx="164">
                  <c:v>953.0</c:v>
                </c:pt>
                <c:pt idx="165">
                  <c:v>744.0</c:v>
                </c:pt>
                <c:pt idx="166">
                  <c:v>736.0</c:v>
                </c:pt>
                <c:pt idx="167">
                  <c:v>823.0</c:v>
                </c:pt>
                <c:pt idx="168">
                  <c:v>801.0</c:v>
                </c:pt>
                <c:pt idx="169">
                  <c:v>943.0</c:v>
                </c:pt>
                <c:pt idx="170">
                  <c:v>844.0</c:v>
                </c:pt>
                <c:pt idx="171">
                  <c:v>746.0</c:v>
                </c:pt>
                <c:pt idx="172">
                  <c:v>776.0</c:v>
                </c:pt>
                <c:pt idx="173">
                  <c:v>764.0</c:v>
                </c:pt>
                <c:pt idx="174">
                  <c:v>708.0</c:v>
                </c:pt>
                <c:pt idx="175">
                  <c:v>723.0</c:v>
                </c:pt>
                <c:pt idx="176">
                  <c:v>844.0</c:v>
                </c:pt>
                <c:pt idx="177">
                  <c:v>789.0</c:v>
                </c:pt>
                <c:pt idx="178">
                  <c:v>746.0</c:v>
                </c:pt>
                <c:pt idx="179">
                  <c:v>692.0</c:v>
                </c:pt>
                <c:pt idx="180">
                  <c:v>691.0</c:v>
                </c:pt>
                <c:pt idx="181">
                  <c:v>820.0</c:v>
                </c:pt>
                <c:pt idx="182">
                  <c:v>899.0</c:v>
                </c:pt>
                <c:pt idx="183">
                  <c:v>740.0</c:v>
                </c:pt>
                <c:pt idx="184">
                  <c:v>959.0</c:v>
                </c:pt>
                <c:pt idx="185">
                  <c:v>845.0</c:v>
                </c:pt>
                <c:pt idx="186">
                  <c:v>754.0</c:v>
                </c:pt>
                <c:pt idx="187">
                  <c:v>1180.0</c:v>
                </c:pt>
                <c:pt idx="188">
                  <c:v>739.0</c:v>
                </c:pt>
                <c:pt idx="189">
                  <c:v>807.0</c:v>
                </c:pt>
              </c:numCache>
            </c:numRef>
          </c:val>
          <c:smooth val="0"/>
        </c:ser>
        <c:ser>
          <c:idx val="1"/>
          <c:order val="1"/>
          <c:tx>
            <c:v>Inf tBOD mg/L</c:v>
          </c:tx>
          <c:trendline>
            <c:trendlineType val="movingAvg"/>
            <c:period val="7"/>
            <c:dispRSqr val="0"/>
            <c:dispEq val="0"/>
          </c:trendline>
          <c:val>
            <c:numRef>
              <c:f>DATA!$BQ$5:$BQ$194</c:f>
              <c:numCache>
                <c:formatCode>General</c:formatCode>
                <c:ptCount val="190"/>
                <c:pt idx="0">
                  <c:v>351.0</c:v>
                </c:pt>
                <c:pt idx="1">
                  <c:v>355.0</c:v>
                </c:pt>
                <c:pt idx="2">
                  <c:v>320.0</c:v>
                </c:pt>
                <c:pt idx="3">
                  <c:v>345.0</c:v>
                </c:pt>
                <c:pt idx="4">
                  <c:v>339.0</c:v>
                </c:pt>
                <c:pt idx="5">
                  <c:v>393.0</c:v>
                </c:pt>
                <c:pt idx="6">
                  <c:v>360.0</c:v>
                </c:pt>
                <c:pt idx="7">
                  <c:v>506.0</c:v>
                </c:pt>
                <c:pt idx="8">
                  <c:v>317.0</c:v>
                </c:pt>
                <c:pt idx="9">
                  <c:v>308.0</c:v>
                </c:pt>
                <c:pt idx="10">
                  <c:v>361.0</c:v>
                </c:pt>
                <c:pt idx="11">
                  <c:v>360.0</c:v>
                </c:pt>
                <c:pt idx="12">
                  <c:v>389.0</c:v>
                </c:pt>
                <c:pt idx="13">
                  <c:v>381.0</c:v>
                </c:pt>
                <c:pt idx="14">
                  <c:v>365.0</c:v>
                </c:pt>
                <c:pt idx="16">
                  <c:v>369.0</c:v>
                </c:pt>
                <c:pt idx="17">
                  <c:v>348.0</c:v>
                </c:pt>
                <c:pt idx="18">
                  <c:v>355.0</c:v>
                </c:pt>
                <c:pt idx="19">
                  <c:v>355.0</c:v>
                </c:pt>
                <c:pt idx="20">
                  <c:v>368.0</c:v>
                </c:pt>
                <c:pt idx="21">
                  <c:v>323.0</c:v>
                </c:pt>
                <c:pt idx="22">
                  <c:v>302.0</c:v>
                </c:pt>
                <c:pt idx="23">
                  <c:v>321.0</c:v>
                </c:pt>
                <c:pt idx="24">
                  <c:v>308.0</c:v>
                </c:pt>
                <c:pt idx="25">
                  <c:v>339.0</c:v>
                </c:pt>
                <c:pt idx="26">
                  <c:v>347.0</c:v>
                </c:pt>
                <c:pt idx="27">
                  <c:v>365.0</c:v>
                </c:pt>
                <c:pt idx="28">
                  <c:v>332.0</c:v>
                </c:pt>
                <c:pt idx="29">
                  <c:v>303.0</c:v>
                </c:pt>
                <c:pt idx="30">
                  <c:v>325.0</c:v>
                </c:pt>
                <c:pt idx="31">
                  <c:v>343.0</c:v>
                </c:pt>
                <c:pt idx="32">
                  <c:v>344.0</c:v>
                </c:pt>
                <c:pt idx="33">
                  <c:v>307.0</c:v>
                </c:pt>
                <c:pt idx="34">
                  <c:v>321.0</c:v>
                </c:pt>
                <c:pt idx="35">
                  <c:v>306.0</c:v>
                </c:pt>
                <c:pt idx="36">
                  <c:v>279.0</c:v>
                </c:pt>
                <c:pt idx="37">
                  <c:v>313.0</c:v>
                </c:pt>
                <c:pt idx="38">
                  <c:v>331.0</c:v>
                </c:pt>
                <c:pt idx="39">
                  <c:v>294.0</c:v>
                </c:pt>
                <c:pt idx="40">
                  <c:v>323.0</c:v>
                </c:pt>
                <c:pt idx="41">
                  <c:v>390.0</c:v>
                </c:pt>
                <c:pt idx="42">
                  <c:v>347.0</c:v>
                </c:pt>
                <c:pt idx="43">
                  <c:v>334.0</c:v>
                </c:pt>
                <c:pt idx="44">
                  <c:v>328.0</c:v>
                </c:pt>
                <c:pt idx="45">
                  <c:v>339.0</c:v>
                </c:pt>
                <c:pt idx="46">
                  <c:v>373.0</c:v>
                </c:pt>
                <c:pt idx="47">
                  <c:v>367.0</c:v>
                </c:pt>
                <c:pt idx="48">
                  <c:v>363.0</c:v>
                </c:pt>
                <c:pt idx="49">
                  <c:v>319.0</c:v>
                </c:pt>
                <c:pt idx="50">
                  <c:v>337.0</c:v>
                </c:pt>
                <c:pt idx="51">
                  <c:v>374.0</c:v>
                </c:pt>
                <c:pt idx="52">
                  <c:v>364.0</c:v>
                </c:pt>
                <c:pt idx="53">
                  <c:v>402.0</c:v>
                </c:pt>
                <c:pt idx="54">
                  <c:v>315.0</c:v>
                </c:pt>
                <c:pt idx="55">
                  <c:v>360.0</c:v>
                </c:pt>
                <c:pt idx="56">
                  <c:v>367.0</c:v>
                </c:pt>
                <c:pt idx="57">
                  <c:v>334.0</c:v>
                </c:pt>
                <c:pt idx="58">
                  <c:v>410.0</c:v>
                </c:pt>
                <c:pt idx="59">
                  <c:v>337.0</c:v>
                </c:pt>
                <c:pt idx="60">
                  <c:v>361.0</c:v>
                </c:pt>
                <c:pt idx="61">
                  <c:v>360.0</c:v>
                </c:pt>
                <c:pt idx="62">
                  <c:v>373.0</c:v>
                </c:pt>
                <c:pt idx="63">
                  <c:v>331.0</c:v>
                </c:pt>
                <c:pt idx="64">
                  <c:v>306.0</c:v>
                </c:pt>
                <c:pt idx="65">
                  <c:v>327.0</c:v>
                </c:pt>
                <c:pt idx="66">
                  <c:v>331.0</c:v>
                </c:pt>
                <c:pt idx="67">
                  <c:v>368.0</c:v>
                </c:pt>
                <c:pt idx="68">
                  <c:v>378.0</c:v>
                </c:pt>
                <c:pt idx="69">
                  <c:v>398.0</c:v>
                </c:pt>
                <c:pt idx="70">
                  <c:v>351.0</c:v>
                </c:pt>
                <c:pt idx="71">
                  <c:v>402.0</c:v>
                </c:pt>
                <c:pt idx="72">
                  <c:v>366.0</c:v>
                </c:pt>
                <c:pt idx="73">
                  <c:v>363.0</c:v>
                </c:pt>
                <c:pt idx="74">
                  <c:v>439.0</c:v>
                </c:pt>
                <c:pt idx="75">
                  <c:v>437.0</c:v>
                </c:pt>
                <c:pt idx="76">
                  <c:v>413.0</c:v>
                </c:pt>
                <c:pt idx="77">
                  <c:v>415.0</c:v>
                </c:pt>
                <c:pt idx="78">
                  <c:v>322.0</c:v>
                </c:pt>
                <c:pt idx="79">
                  <c:v>323.0</c:v>
                </c:pt>
                <c:pt idx="80">
                  <c:v>346.0</c:v>
                </c:pt>
                <c:pt idx="81">
                  <c:v>331.0</c:v>
                </c:pt>
                <c:pt idx="83">
                  <c:v>417.0</c:v>
                </c:pt>
                <c:pt idx="84">
                  <c:v>342.0</c:v>
                </c:pt>
                <c:pt idx="85">
                  <c:v>320.0</c:v>
                </c:pt>
                <c:pt idx="86">
                  <c:v>344.0</c:v>
                </c:pt>
                <c:pt idx="87">
                  <c:v>343.0</c:v>
                </c:pt>
                <c:pt idx="88">
                  <c:v>346.0</c:v>
                </c:pt>
                <c:pt idx="89">
                  <c:v>329.0</c:v>
                </c:pt>
                <c:pt idx="90">
                  <c:v>359.0</c:v>
                </c:pt>
                <c:pt idx="91">
                  <c:v>316.0</c:v>
                </c:pt>
                <c:pt idx="92">
                  <c:v>278.0</c:v>
                </c:pt>
                <c:pt idx="93">
                  <c:v>337.0</c:v>
                </c:pt>
                <c:pt idx="94">
                  <c:v>339.0</c:v>
                </c:pt>
                <c:pt idx="95">
                  <c:v>337.0</c:v>
                </c:pt>
                <c:pt idx="96">
                  <c:v>501.0</c:v>
                </c:pt>
                <c:pt idx="97">
                  <c:v>400.0</c:v>
                </c:pt>
                <c:pt idx="98">
                  <c:v>351.0</c:v>
                </c:pt>
                <c:pt idx="99">
                  <c:v>336.0</c:v>
                </c:pt>
                <c:pt idx="100">
                  <c:v>347.0</c:v>
                </c:pt>
                <c:pt idx="101">
                  <c:v>349.0</c:v>
                </c:pt>
                <c:pt idx="102">
                  <c:v>379.0</c:v>
                </c:pt>
                <c:pt idx="103">
                  <c:v>349.0</c:v>
                </c:pt>
                <c:pt idx="104">
                  <c:v>357.0</c:v>
                </c:pt>
                <c:pt idx="105">
                  <c:v>294.0</c:v>
                </c:pt>
                <c:pt idx="106">
                  <c:v>343.0</c:v>
                </c:pt>
                <c:pt idx="107">
                  <c:v>380.0</c:v>
                </c:pt>
                <c:pt idx="108">
                  <c:v>313.0</c:v>
                </c:pt>
                <c:pt idx="109">
                  <c:v>344.0</c:v>
                </c:pt>
                <c:pt idx="110">
                  <c:v>344.0</c:v>
                </c:pt>
                <c:pt idx="111">
                  <c:v>327.0</c:v>
                </c:pt>
                <c:pt idx="112">
                  <c:v>263.0</c:v>
                </c:pt>
                <c:pt idx="113">
                  <c:v>295.0</c:v>
                </c:pt>
                <c:pt idx="114">
                  <c:v>286.0</c:v>
                </c:pt>
                <c:pt idx="115">
                  <c:v>305.0</c:v>
                </c:pt>
                <c:pt idx="116">
                  <c:v>281.0</c:v>
                </c:pt>
                <c:pt idx="117">
                  <c:v>297.0</c:v>
                </c:pt>
                <c:pt idx="118">
                  <c:v>265.0</c:v>
                </c:pt>
                <c:pt idx="119">
                  <c:v>265.0</c:v>
                </c:pt>
                <c:pt idx="120">
                  <c:v>269.0</c:v>
                </c:pt>
                <c:pt idx="121">
                  <c:v>325.0</c:v>
                </c:pt>
                <c:pt idx="122">
                  <c:v>340.0</c:v>
                </c:pt>
                <c:pt idx="123">
                  <c:v>272.0</c:v>
                </c:pt>
                <c:pt idx="124">
                  <c:v>284.0</c:v>
                </c:pt>
                <c:pt idx="125">
                  <c:v>306.0</c:v>
                </c:pt>
                <c:pt idx="126">
                  <c:v>253.0</c:v>
                </c:pt>
                <c:pt idx="127">
                  <c:v>274.0</c:v>
                </c:pt>
                <c:pt idx="128">
                  <c:v>274.0</c:v>
                </c:pt>
                <c:pt idx="129">
                  <c:v>272.0</c:v>
                </c:pt>
                <c:pt idx="130">
                  <c:v>346.0</c:v>
                </c:pt>
                <c:pt idx="131">
                  <c:v>334.0</c:v>
                </c:pt>
                <c:pt idx="132">
                  <c:v>325.0</c:v>
                </c:pt>
                <c:pt idx="133">
                  <c:v>267.0</c:v>
                </c:pt>
                <c:pt idx="134">
                  <c:v>270.0</c:v>
                </c:pt>
                <c:pt idx="135">
                  <c:v>307.0</c:v>
                </c:pt>
                <c:pt idx="136">
                  <c:v>293.0</c:v>
                </c:pt>
                <c:pt idx="137">
                  <c:v>270.0</c:v>
                </c:pt>
                <c:pt idx="138">
                  <c:v>290.0</c:v>
                </c:pt>
                <c:pt idx="139">
                  <c:v>277.0</c:v>
                </c:pt>
                <c:pt idx="140">
                  <c:v>299.0</c:v>
                </c:pt>
                <c:pt idx="141">
                  <c:v>265.0</c:v>
                </c:pt>
                <c:pt idx="142">
                  <c:v>333.0</c:v>
                </c:pt>
                <c:pt idx="143">
                  <c:v>321.0</c:v>
                </c:pt>
                <c:pt idx="144">
                  <c:v>287.0</c:v>
                </c:pt>
                <c:pt idx="145">
                  <c:v>313.0</c:v>
                </c:pt>
                <c:pt idx="146">
                  <c:v>299.0</c:v>
                </c:pt>
                <c:pt idx="147">
                  <c:v>275.0</c:v>
                </c:pt>
                <c:pt idx="148">
                  <c:v>327.0</c:v>
                </c:pt>
                <c:pt idx="149">
                  <c:v>260.0</c:v>
                </c:pt>
                <c:pt idx="150">
                  <c:v>303.0</c:v>
                </c:pt>
                <c:pt idx="151">
                  <c:v>271.0</c:v>
                </c:pt>
                <c:pt idx="152">
                  <c:v>279.0</c:v>
                </c:pt>
                <c:pt idx="153">
                  <c:v>278.0</c:v>
                </c:pt>
                <c:pt idx="154">
                  <c:v>245.0</c:v>
                </c:pt>
                <c:pt idx="155">
                  <c:v>246.0</c:v>
                </c:pt>
                <c:pt idx="156">
                  <c:v>299.0</c:v>
                </c:pt>
                <c:pt idx="157">
                  <c:v>254.0</c:v>
                </c:pt>
                <c:pt idx="158">
                  <c:v>261.0</c:v>
                </c:pt>
                <c:pt idx="159">
                  <c:v>250.0</c:v>
                </c:pt>
                <c:pt idx="160">
                  <c:v>249.0</c:v>
                </c:pt>
                <c:pt idx="161">
                  <c:v>253.0</c:v>
                </c:pt>
                <c:pt idx="162">
                  <c:v>217.0</c:v>
                </c:pt>
                <c:pt idx="163">
                  <c:v>244.0</c:v>
                </c:pt>
                <c:pt idx="164">
                  <c:v>252.0</c:v>
                </c:pt>
                <c:pt idx="165">
                  <c:v>258.0</c:v>
                </c:pt>
                <c:pt idx="166">
                  <c:v>240.0</c:v>
                </c:pt>
                <c:pt idx="168">
                  <c:v>248.0</c:v>
                </c:pt>
                <c:pt idx="169">
                  <c:v>247.0</c:v>
                </c:pt>
                <c:pt idx="170">
                  <c:v>266.0</c:v>
                </c:pt>
                <c:pt idx="171">
                  <c:v>227.0</c:v>
                </c:pt>
                <c:pt idx="172">
                  <c:v>287.0</c:v>
                </c:pt>
                <c:pt idx="173">
                  <c:v>295.0</c:v>
                </c:pt>
                <c:pt idx="174">
                  <c:v>242.0</c:v>
                </c:pt>
                <c:pt idx="175">
                  <c:v>231.0</c:v>
                </c:pt>
                <c:pt idx="176">
                  <c:v>251.0</c:v>
                </c:pt>
                <c:pt idx="177" formatCode="0">
                  <c:v>294.0</c:v>
                </c:pt>
                <c:pt idx="178">
                  <c:v>232.0</c:v>
                </c:pt>
                <c:pt idx="179">
                  <c:v>233.0</c:v>
                </c:pt>
                <c:pt idx="180">
                  <c:v>264.0</c:v>
                </c:pt>
                <c:pt idx="181">
                  <c:v>250.0</c:v>
                </c:pt>
                <c:pt idx="182">
                  <c:v>265.0</c:v>
                </c:pt>
                <c:pt idx="183">
                  <c:v>246.0</c:v>
                </c:pt>
                <c:pt idx="184">
                  <c:v>293.0</c:v>
                </c:pt>
                <c:pt idx="185">
                  <c:v>295.0</c:v>
                </c:pt>
              </c:numCache>
            </c:numRef>
          </c:val>
          <c:smooth val="0"/>
        </c:ser>
        <c:ser>
          <c:idx val="2"/>
          <c:order val="2"/>
          <c:tx>
            <c:v>Inf TSS (mg/L)</c:v>
          </c:tx>
          <c:trendline>
            <c:trendlineType val="movingAvg"/>
            <c:period val="7"/>
            <c:dispRSqr val="0"/>
            <c:dispEq val="0"/>
          </c:trendline>
          <c:val>
            <c:numRef>
              <c:f>DATA!$H$5:$H$194</c:f>
              <c:numCache>
                <c:formatCode>General</c:formatCode>
                <c:ptCount val="190"/>
                <c:pt idx="0">
                  <c:v>268.0</c:v>
                </c:pt>
                <c:pt idx="1">
                  <c:v>254.0</c:v>
                </c:pt>
                <c:pt idx="2">
                  <c:v>232.0</c:v>
                </c:pt>
                <c:pt idx="3">
                  <c:v>246.0</c:v>
                </c:pt>
                <c:pt idx="4">
                  <c:v>284.0</c:v>
                </c:pt>
                <c:pt idx="5">
                  <c:v>320.0</c:v>
                </c:pt>
                <c:pt idx="6">
                  <c:v>278.0</c:v>
                </c:pt>
                <c:pt idx="7">
                  <c:v>250.0</c:v>
                </c:pt>
                <c:pt idx="8">
                  <c:v>270.0</c:v>
                </c:pt>
                <c:pt idx="9">
                  <c:v>232.0</c:v>
                </c:pt>
                <c:pt idx="10">
                  <c:v>250.0</c:v>
                </c:pt>
                <c:pt idx="12">
                  <c:v>272.0</c:v>
                </c:pt>
                <c:pt idx="13">
                  <c:v>322.0</c:v>
                </c:pt>
                <c:pt idx="14">
                  <c:v>236.0</c:v>
                </c:pt>
                <c:pt idx="15">
                  <c:v>238.0</c:v>
                </c:pt>
                <c:pt idx="16">
                  <c:v>276.0</c:v>
                </c:pt>
                <c:pt idx="17">
                  <c:v>308.0</c:v>
                </c:pt>
                <c:pt idx="18">
                  <c:v>254.0</c:v>
                </c:pt>
                <c:pt idx="19">
                  <c:v>280.0</c:v>
                </c:pt>
                <c:pt idx="20">
                  <c:v>342.0</c:v>
                </c:pt>
                <c:pt idx="21">
                  <c:v>318.0</c:v>
                </c:pt>
                <c:pt idx="22">
                  <c:v>318.0</c:v>
                </c:pt>
                <c:pt idx="23">
                  <c:v>328.0</c:v>
                </c:pt>
                <c:pt idx="24">
                  <c:v>266.0</c:v>
                </c:pt>
                <c:pt idx="25">
                  <c:v>296.0</c:v>
                </c:pt>
                <c:pt idx="26">
                  <c:v>230.0</c:v>
                </c:pt>
                <c:pt idx="27">
                  <c:v>236.0</c:v>
                </c:pt>
                <c:pt idx="28">
                  <c:v>318.0</c:v>
                </c:pt>
                <c:pt idx="29">
                  <c:v>242.0</c:v>
                </c:pt>
                <c:pt idx="30">
                  <c:v>412.0</c:v>
                </c:pt>
                <c:pt idx="31">
                  <c:v>264.0</c:v>
                </c:pt>
                <c:pt idx="32">
                  <c:v>272.0</c:v>
                </c:pt>
                <c:pt idx="33">
                  <c:v>266.0</c:v>
                </c:pt>
                <c:pt idx="34">
                  <c:v>248.0</c:v>
                </c:pt>
                <c:pt idx="35">
                  <c:v>314.0</c:v>
                </c:pt>
                <c:pt idx="36">
                  <c:v>320.0</c:v>
                </c:pt>
                <c:pt idx="37">
                  <c:v>260.0</c:v>
                </c:pt>
                <c:pt idx="38">
                  <c:v>278.0</c:v>
                </c:pt>
                <c:pt idx="39">
                  <c:v>286.0</c:v>
                </c:pt>
                <c:pt idx="40">
                  <c:v>244.0</c:v>
                </c:pt>
                <c:pt idx="41">
                  <c:v>266.0</c:v>
                </c:pt>
                <c:pt idx="42">
                  <c:v>330.0</c:v>
                </c:pt>
                <c:pt idx="43">
                  <c:v>356.0</c:v>
                </c:pt>
                <c:pt idx="44">
                  <c:v>278.0</c:v>
                </c:pt>
                <c:pt idx="45">
                  <c:v>490.0</c:v>
                </c:pt>
                <c:pt idx="46">
                  <c:v>296.0</c:v>
                </c:pt>
                <c:pt idx="47">
                  <c:v>278.0</c:v>
                </c:pt>
                <c:pt idx="48">
                  <c:v>254.0</c:v>
                </c:pt>
                <c:pt idx="49">
                  <c:v>284.0</c:v>
                </c:pt>
                <c:pt idx="50">
                  <c:v>382.0</c:v>
                </c:pt>
                <c:pt idx="51">
                  <c:v>306.0</c:v>
                </c:pt>
                <c:pt idx="52">
                  <c:v>292.0</c:v>
                </c:pt>
                <c:pt idx="53">
                  <c:v>450.0</c:v>
                </c:pt>
                <c:pt idx="54">
                  <c:v>318.0</c:v>
                </c:pt>
                <c:pt idx="55">
                  <c:v>256.0</c:v>
                </c:pt>
                <c:pt idx="56">
                  <c:v>252.0</c:v>
                </c:pt>
                <c:pt idx="57">
                  <c:v>348.0</c:v>
                </c:pt>
                <c:pt idx="58">
                  <c:v>268.0</c:v>
                </c:pt>
                <c:pt idx="59">
                  <c:v>356.0</c:v>
                </c:pt>
                <c:pt idx="60">
                  <c:v>284.0</c:v>
                </c:pt>
                <c:pt idx="61">
                  <c:v>314.0</c:v>
                </c:pt>
                <c:pt idx="62">
                  <c:v>248.0</c:v>
                </c:pt>
                <c:pt idx="63">
                  <c:v>266.0</c:v>
                </c:pt>
                <c:pt idx="64">
                  <c:v>272.0</c:v>
                </c:pt>
                <c:pt idx="65">
                  <c:v>334.0</c:v>
                </c:pt>
                <c:pt idx="66">
                  <c:v>296.0</c:v>
                </c:pt>
                <c:pt idx="67">
                  <c:v>266.0</c:v>
                </c:pt>
                <c:pt idx="68">
                  <c:v>376.0</c:v>
                </c:pt>
                <c:pt idx="69">
                  <c:v>234.0</c:v>
                </c:pt>
                <c:pt idx="70">
                  <c:v>268.0</c:v>
                </c:pt>
                <c:pt idx="71">
                  <c:v>274.0</c:v>
                </c:pt>
                <c:pt idx="72">
                  <c:v>340.0</c:v>
                </c:pt>
                <c:pt idx="73">
                  <c:v>290.0</c:v>
                </c:pt>
                <c:pt idx="74">
                  <c:v>356.0</c:v>
                </c:pt>
                <c:pt idx="75">
                  <c:v>356.0</c:v>
                </c:pt>
                <c:pt idx="76">
                  <c:v>350.0</c:v>
                </c:pt>
                <c:pt idx="77">
                  <c:v>278.0</c:v>
                </c:pt>
                <c:pt idx="78">
                  <c:v>280.0</c:v>
                </c:pt>
                <c:pt idx="79">
                  <c:v>306.0</c:v>
                </c:pt>
                <c:pt idx="80">
                  <c:v>360.0</c:v>
                </c:pt>
                <c:pt idx="81">
                  <c:v>266.0</c:v>
                </c:pt>
                <c:pt idx="83">
                  <c:v>352.0</c:v>
                </c:pt>
                <c:pt idx="84">
                  <c:v>248.0</c:v>
                </c:pt>
                <c:pt idx="85">
                  <c:v>268.0</c:v>
                </c:pt>
                <c:pt idx="86">
                  <c:v>254.0</c:v>
                </c:pt>
                <c:pt idx="87">
                  <c:v>232.0</c:v>
                </c:pt>
                <c:pt idx="88">
                  <c:v>252.0</c:v>
                </c:pt>
                <c:pt idx="89">
                  <c:v>286.0</c:v>
                </c:pt>
                <c:pt idx="90">
                  <c:v>308.0</c:v>
                </c:pt>
                <c:pt idx="91">
                  <c:v>232.0</c:v>
                </c:pt>
                <c:pt idx="92">
                  <c:v>264.0</c:v>
                </c:pt>
                <c:pt idx="93">
                  <c:v>262.0</c:v>
                </c:pt>
                <c:pt idx="94">
                  <c:v>236.0</c:v>
                </c:pt>
                <c:pt idx="95">
                  <c:v>254.0</c:v>
                </c:pt>
                <c:pt idx="96">
                  <c:v>314.0</c:v>
                </c:pt>
                <c:pt idx="97">
                  <c:v>300.0</c:v>
                </c:pt>
                <c:pt idx="98">
                  <c:v>252.0</c:v>
                </c:pt>
                <c:pt idx="99">
                  <c:v>264.0</c:v>
                </c:pt>
                <c:pt idx="100">
                  <c:v>482.0</c:v>
                </c:pt>
                <c:pt idx="101">
                  <c:v>266.0</c:v>
                </c:pt>
                <c:pt idx="102">
                  <c:v>290.0</c:v>
                </c:pt>
                <c:pt idx="103">
                  <c:v>264.0</c:v>
                </c:pt>
                <c:pt idx="104">
                  <c:v>298.0</c:v>
                </c:pt>
                <c:pt idx="105">
                  <c:v>296.0</c:v>
                </c:pt>
                <c:pt idx="106">
                  <c:v>274.0</c:v>
                </c:pt>
                <c:pt idx="107">
                  <c:v>252.0</c:v>
                </c:pt>
                <c:pt idx="108">
                  <c:v>366.0</c:v>
                </c:pt>
                <c:pt idx="109">
                  <c:v>250.0</c:v>
                </c:pt>
                <c:pt idx="110">
                  <c:v>264.0</c:v>
                </c:pt>
                <c:pt idx="111">
                  <c:v>280.0</c:v>
                </c:pt>
                <c:pt idx="112">
                  <c:v>280.0</c:v>
                </c:pt>
                <c:pt idx="113">
                  <c:v>284.0</c:v>
                </c:pt>
                <c:pt idx="114">
                  <c:v>336.0</c:v>
                </c:pt>
                <c:pt idx="115">
                  <c:v>246.0</c:v>
                </c:pt>
                <c:pt idx="116">
                  <c:v>228.0</c:v>
                </c:pt>
                <c:pt idx="117">
                  <c:v>234.0</c:v>
                </c:pt>
                <c:pt idx="118">
                  <c:v>228.0</c:v>
                </c:pt>
                <c:pt idx="119">
                  <c:v>258.0</c:v>
                </c:pt>
                <c:pt idx="120">
                  <c:v>278.0</c:v>
                </c:pt>
                <c:pt idx="121">
                  <c:v>274.0</c:v>
                </c:pt>
                <c:pt idx="122">
                  <c:v>250.0</c:v>
                </c:pt>
                <c:pt idx="123">
                  <c:v>232.0</c:v>
                </c:pt>
                <c:pt idx="124">
                  <c:v>202.0</c:v>
                </c:pt>
                <c:pt idx="125">
                  <c:v>234.0</c:v>
                </c:pt>
                <c:pt idx="126">
                  <c:v>246.0</c:v>
                </c:pt>
                <c:pt idx="127">
                  <c:v>228.0</c:v>
                </c:pt>
                <c:pt idx="128">
                  <c:v>236.0</c:v>
                </c:pt>
                <c:pt idx="129">
                  <c:v>240.0</c:v>
                </c:pt>
                <c:pt idx="130">
                  <c:v>306.0</c:v>
                </c:pt>
                <c:pt idx="131">
                  <c:v>230.0</c:v>
                </c:pt>
                <c:pt idx="132">
                  <c:v>228.0</c:v>
                </c:pt>
                <c:pt idx="133">
                  <c:v>244.0</c:v>
                </c:pt>
                <c:pt idx="134">
                  <c:v>264.0</c:v>
                </c:pt>
                <c:pt idx="135">
                  <c:v>236.0</c:v>
                </c:pt>
                <c:pt idx="136">
                  <c:v>310.0</c:v>
                </c:pt>
                <c:pt idx="137">
                  <c:v>202.0</c:v>
                </c:pt>
                <c:pt idx="138">
                  <c:v>214.0</c:v>
                </c:pt>
                <c:pt idx="139">
                  <c:v>238.0</c:v>
                </c:pt>
                <c:pt idx="140">
                  <c:v>186.0</c:v>
                </c:pt>
                <c:pt idx="141">
                  <c:v>188.0</c:v>
                </c:pt>
                <c:pt idx="142">
                  <c:v>210.0</c:v>
                </c:pt>
                <c:pt idx="143">
                  <c:v>252.0</c:v>
                </c:pt>
                <c:pt idx="144">
                  <c:v>234.0</c:v>
                </c:pt>
                <c:pt idx="145">
                  <c:v>212.0</c:v>
                </c:pt>
                <c:pt idx="146">
                  <c:v>248.0</c:v>
                </c:pt>
                <c:pt idx="147">
                  <c:v>186.0</c:v>
                </c:pt>
                <c:pt idx="148">
                  <c:v>352.0</c:v>
                </c:pt>
                <c:pt idx="149">
                  <c:v>220.0</c:v>
                </c:pt>
                <c:pt idx="150">
                  <c:v>254.0</c:v>
                </c:pt>
                <c:pt idx="151">
                  <c:v>186.0</c:v>
                </c:pt>
                <c:pt idx="152">
                  <c:v>202.0</c:v>
                </c:pt>
                <c:pt idx="153">
                  <c:v>196.0</c:v>
                </c:pt>
                <c:pt idx="154">
                  <c:v>172.0</c:v>
                </c:pt>
                <c:pt idx="155">
                  <c:v>186.0</c:v>
                </c:pt>
                <c:pt idx="156">
                  <c:v>198.0</c:v>
                </c:pt>
                <c:pt idx="157">
                  <c:v>200.0</c:v>
                </c:pt>
                <c:pt idx="158">
                  <c:v>176.0</c:v>
                </c:pt>
                <c:pt idx="159">
                  <c:v>186.0</c:v>
                </c:pt>
                <c:pt idx="160">
                  <c:v>246.0</c:v>
                </c:pt>
                <c:pt idx="161">
                  <c:v>202.0</c:v>
                </c:pt>
                <c:pt idx="162">
                  <c:v>176.0</c:v>
                </c:pt>
                <c:pt idx="163">
                  <c:v>236.0</c:v>
                </c:pt>
                <c:pt idx="164">
                  <c:v>222.0</c:v>
                </c:pt>
                <c:pt idx="165">
                  <c:v>230.0</c:v>
                </c:pt>
                <c:pt idx="166">
                  <c:v>270.0</c:v>
                </c:pt>
                <c:pt idx="167">
                  <c:v>218.0</c:v>
                </c:pt>
                <c:pt idx="168">
                  <c:v>168.0</c:v>
                </c:pt>
                <c:pt idx="169">
                  <c:v>210.0</c:v>
                </c:pt>
                <c:pt idx="170">
                  <c:v>228.0</c:v>
                </c:pt>
                <c:pt idx="171">
                  <c:v>232.0</c:v>
                </c:pt>
                <c:pt idx="172">
                  <c:v>188.0</c:v>
                </c:pt>
                <c:pt idx="173">
                  <c:v>226.0</c:v>
                </c:pt>
                <c:pt idx="174">
                  <c:v>190.0</c:v>
                </c:pt>
                <c:pt idx="175">
                  <c:v>180.0</c:v>
                </c:pt>
                <c:pt idx="176">
                  <c:v>202.0</c:v>
                </c:pt>
                <c:pt idx="177">
                  <c:v>176.0</c:v>
                </c:pt>
                <c:pt idx="178">
                  <c:v>182.0</c:v>
                </c:pt>
                <c:pt idx="179">
                  <c:v>200.0</c:v>
                </c:pt>
                <c:pt idx="180">
                  <c:v>186.0</c:v>
                </c:pt>
                <c:pt idx="181">
                  <c:v>216.0</c:v>
                </c:pt>
                <c:pt idx="182">
                  <c:v>208.0</c:v>
                </c:pt>
                <c:pt idx="183">
                  <c:v>196.0</c:v>
                </c:pt>
                <c:pt idx="184">
                  <c:v>312.0</c:v>
                </c:pt>
                <c:pt idx="185">
                  <c:v>236.0</c:v>
                </c:pt>
                <c:pt idx="186">
                  <c:v>188.0</c:v>
                </c:pt>
                <c:pt idx="187">
                  <c:v>200.0</c:v>
                </c:pt>
                <c:pt idx="188">
                  <c:v>176.0</c:v>
                </c:pt>
                <c:pt idx="189">
                  <c:v>196.0</c:v>
                </c:pt>
              </c:numCache>
            </c:numRef>
          </c:val>
          <c:smooth val="0"/>
        </c:ser>
        <c:dLbls>
          <c:showLegendKey val="0"/>
          <c:showVal val="0"/>
          <c:showCatName val="0"/>
          <c:showSerName val="0"/>
          <c:showPercent val="0"/>
          <c:showBubbleSize val="0"/>
        </c:dLbls>
        <c:marker val="1"/>
        <c:smooth val="0"/>
        <c:axId val="725985048"/>
        <c:axId val="730602120"/>
      </c:lineChart>
      <c:lineChart>
        <c:grouping val="standard"/>
        <c:varyColors val="0"/>
        <c:ser>
          <c:idx val="3"/>
          <c:order val="3"/>
          <c:tx>
            <c:v>Inf COD/tBOD</c:v>
          </c:tx>
          <c:trendline>
            <c:trendlineType val="movingAvg"/>
            <c:period val="7"/>
            <c:dispRSqr val="0"/>
            <c:dispEq val="0"/>
          </c:trendline>
          <c:val>
            <c:numRef>
              <c:f>DATA!$BU$5:$BU$190</c:f>
              <c:numCache>
                <c:formatCode>0.00</c:formatCode>
                <c:ptCount val="186"/>
                <c:pt idx="0">
                  <c:v>2.373219373219373</c:v>
                </c:pt>
                <c:pt idx="1">
                  <c:v>2.659154929577465</c:v>
                </c:pt>
                <c:pt idx="2">
                  <c:v>2.996875</c:v>
                </c:pt>
                <c:pt idx="3">
                  <c:v>3.594202898550725</c:v>
                </c:pt>
                <c:pt idx="4">
                  <c:v>4.218289085545722</c:v>
                </c:pt>
                <c:pt idx="5">
                  <c:v>3.155216284987278</c:v>
                </c:pt>
                <c:pt idx="6">
                  <c:v>2.675</c:v>
                </c:pt>
                <c:pt idx="7">
                  <c:v>1.869565217391304</c:v>
                </c:pt>
                <c:pt idx="8">
                  <c:v>2.296529968454259</c:v>
                </c:pt>
                <c:pt idx="9">
                  <c:v>2.058441558441558</c:v>
                </c:pt>
                <c:pt idx="10">
                  <c:v>2.506925207756232</c:v>
                </c:pt>
                <c:pt idx="11">
                  <c:v>2.833333333333333</c:v>
                </c:pt>
                <c:pt idx="12">
                  <c:v>2.596401028277635</c:v>
                </c:pt>
                <c:pt idx="13">
                  <c:v>3.254593175853018</c:v>
                </c:pt>
                <c:pt idx="14">
                  <c:v>2.515068493150685</c:v>
                </c:pt>
                <c:pt idx="16">
                  <c:v>2.392953929539295</c:v>
                </c:pt>
                <c:pt idx="17">
                  <c:v>3.017241379310345</c:v>
                </c:pt>
                <c:pt idx="18">
                  <c:v>2.523943661971831</c:v>
                </c:pt>
                <c:pt idx="19">
                  <c:v>2.901408450704225</c:v>
                </c:pt>
                <c:pt idx="20">
                  <c:v>2.576086956521739</c:v>
                </c:pt>
                <c:pt idx="21">
                  <c:v>2.712074303405572</c:v>
                </c:pt>
                <c:pt idx="22">
                  <c:v>2.440397350993377</c:v>
                </c:pt>
                <c:pt idx="23">
                  <c:v>2.554517133956386</c:v>
                </c:pt>
                <c:pt idx="24">
                  <c:v>2.214285714285714</c:v>
                </c:pt>
                <c:pt idx="25">
                  <c:v>2.533923303834808</c:v>
                </c:pt>
                <c:pt idx="26">
                  <c:v>2.593659942363113</c:v>
                </c:pt>
                <c:pt idx="27">
                  <c:v>2.876712328767123</c:v>
                </c:pt>
                <c:pt idx="28">
                  <c:v>2.569277108433735</c:v>
                </c:pt>
                <c:pt idx="29">
                  <c:v>2.267326732673267</c:v>
                </c:pt>
                <c:pt idx="30">
                  <c:v>3.107692307692307</c:v>
                </c:pt>
                <c:pt idx="31">
                  <c:v>2.647230320699708</c:v>
                </c:pt>
                <c:pt idx="32">
                  <c:v>2.412790697674418</c:v>
                </c:pt>
                <c:pt idx="33">
                  <c:v>2.889250814332247</c:v>
                </c:pt>
                <c:pt idx="34">
                  <c:v>2.638629283489096</c:v>
                </c:pt>
                <c:pt idx="35">
                  <c:v>2.101307189542484</c:v>
                </c:pt>
                <c:pt idx="36">
                  <c:v>2.974910394265233</c:v>
                </c:pt>
                <c:pt idx="37">
                  <c:v>1.856230031948882</c:v>
                </c:pt>
                <c:pt idx="38">
                  <c:v>2.377643504531722</c:v>
                </c:pt>
                <c:pt idx="39">
                  <c:v>2.363945578231292</c:v>
                </c:pt>
                <c:pt idx="40">
                  <c:v>2.250773993808049</c:v>
                </c:pt>
                <c:pt idx="41">
                  <c:v>2.174358974358974</c:v>
                </c:pt>
                <c:pt idx="42">
                  <c:v>2.397694524495677</c:v>
                </c:pt>
                <c:pt idx="43">
                  <c:v>0.248502994011976</c:v>
                </c:pt>
                <c:pt idx="44">
                  <c:v>2.560975609756098</c:v>
                </c:pt>
                <c:pt idx="45">
                  <c:v>2.135693215339233</c:v>
                </c:pt>
                <c:pt idx="46">
                  <c:v>2.021447721179625</c:v>
                </c:pt>
                <c:pt idx="47">
                  <c:v>2.125340599455041</c:v>
                </c:pt>
                <c:pt idx="48">
                  <c:v>2.743801652892562</c:v>
                </c:pt>
                <c:pt idx="49">
                  <c:v>2.300940438871473</c:v>
                </c:pt>
                <c:pt idx="50">
                  <c:v>2.097922848664688</c:v>
                </c:pt>
                <c:pt idx="51">
                  <c:v>2.122994652406417</c:v>
                </c:pt>
                <c:pt idx="52">
                  <c:v>2.505494505494505</c:v>
                </c:pt>
                <c:pt idx="53">
                  <c:v>2.084577114427861</c:v>
                </c:pt>
                <c:pt idx="54">
                  <c:v>2.492063492063492</c:v>
                </c:pt>
                <c:pt idx="55">
                  <c:v>2.247222222222222</c:v>
                </c:pt>
                <c:pt idx="56">
                  <c:v>2.046321525885558</c:v>
                </c:pt>
                <c:pt idx="57">
                  <c:v>1.952095808383234</c:v>
                </c:pt>
                <c:pt idx="58">
                  <c:v>2.260975609756097</c:v>
                </c:pt>
                <c:pt idx="59">
                  <c:v>2.127596439169139</c:v>
                </c:pt>
                <c:pt idx="60">
                  <c:v>2.235457063711912</c:v>
                </c:pt>
                <c:pt idx="61">
                  <c:v>2.258333333333333</c:v>
                </c:pt>
                <c:pt idx="62">
                  <c:v>2.46916890080429</c:v>
                </c:pt>
                <c:pt idx="63">
                  <c:v>2.54380664652568</c:v>
                </c:pt>
                <c:pt idx="64">
                  <c:v>2.38562091503268</c:v>
                </c:pt>
                <c:pt idx="65">
                  <c:v>1.764525993883792</c:v>
                </c:pt>
                <c:pt idx="66">
                  <c:v>2.208459214501511</c:v>
                </c:pt>
                <c:pt idx="67">
                  <c:v>2.410326086956522</c:v>
                </c:pt>
                <c:pt idx="68">
                  <c:v>2.185185185185185</c:v>
                </c:pt>
                <c:pt idx="69">
                  <c:v>2.092964824120603</c:v>
                </c:pt>
                <c:pt idx="70">
                  <c:v>2.313390313390313</c:v>
                </c:pt>
                <c:pt idx="71">
                  <c:v>2.191542288557214</c:v>
                </c:pt>
                <c:pt idx="72">
                  <c:v>2.609289617486339</c:v>
                </c:pt>
                <c:pt idx="73">
                  <c:v>2.754820936639118</c:v>
                </c:pt>
                <c:pt idx="74">
                  <c:v>2.391799544419134</c:v>
                </c:pt>
                <c:pt idx="75">
                  <c:v>2.311212814645309</c:v>
                </c:pt>
                <c:pt idx="76">
                  <c:v>2.61501210653753</c:v>
                </c:pt>
                <c:pt idx="77">
                  <c:v>2.395180722891566</c:v>
                </c:pt>
                <c:pt idx="78">
                  <c:v>2.863354037267081</c:v>
                </c:pt>
                <c:pt idx="79">
                  <c:v>2.377708978328173</c:v>
                </c:pt>
                <c:pt idx="80">
                  <c:v>2.38728323699422</c:v>
                </c:pt>
                <c:pt idx="81">
                  <c:v>2.211480362537764</c:v>
                </c:pt>
                <c:pt idx="83">
                  <c:v>2.170263788968825</c:v>
                </c:pt>
                <c:pt idx="84">
                  <c:v>2.315789473684211</c:v>
                </c:pt>
                <c:pt idx="85">
                  <c:v>2.075</c:v>
                </c:pt>
                <c:pt idx="86">
                  <c:v>2.883720930232558</c:v>
                </c:pt>
                <c:pt idx="87">
                  <c:v>2.052478134110787</c:v>
                </c:pt>
                <c:pt idx="88">
                  <c:v>2.11849710982659</c:v>
                </c:pt>
                <c:pt idx="89">
                  <c:v>2.547112462006079</c:v>
                </c:pt>
                <c:pt idx="90">
                  <c:v>2.317548746518106</c:v>
                </c:pt>
                <c:pt idx="91">
                  <c:v>2.512658227848101</c:v>
                </c:pt>
                <c:pt idx="92">
                  <c:v>2.41726618705036</c:v>
                </c:pt>
                <c:pt idx="93">
                  <c:v>2.091988130563798</c:v>
                </c:pt>
                <c:pt idx="94">
                  <c:v>2.321533923303835</c:v>
                </c:pt>
                <c:pt idx="95">
                  <c:v>2.166172106824926</c:v>
                </c:pt>
                <c:pt idx="96">
                  <c:v>2.355289421157685</c:v>
                </c:pt>
                <c:pt idx="97">
                  <c:v>1.95</c:v>
                </c:pt>
                <c:pt idx="98">
                  <c:v>2.35042735042735</c:v>
                </c:pt>
                <c:pt idx="99">
                  <c:v>2.520833333333333</c:v>
                </c:pt>
                <c:pt idx="100">
                  <c:v>2.420749279538905</c:v>
                </c:pt>
                <c:pt idx="101">
                  <c:v>2.243553008595988</c:v>
                </c:pt>
                <c:pt idx="102">
                  <c:v>2.195250659630607</c:v>
                </c:pt>
                <c:pt idx="103">
                  <c:v>2.246418338108882</c:v>
                </c:pt>
                <c:pt idx="104">
                  <c:v>2.369747899159664</c:v>
                </c:pt>
                <c:pt idx="105">
                  <c:v>2.962585034013605</c:v>
                </c:pt>
                <c:pt idx="106">
                  <c:v>2.139941690962099</c:v>
                </c:pt>
                <c:pt idx="107">
                  <c:v>2.028947368421052</c:v>
                </c:pt>
                <c:pt idx="108">
                  <c:v>2.680511182108626</c:v>
                </c:pt>
                <c:pt idx="109">
                  <c:v>2.409883720930233</c:v>
                </c:pt>
                <c:pt idx="110">
                  <c:v>2.575581395348837</c:v>
                </c:pt>
                <c:pt idx="111">
                  <c:v>2.146788990825688</c:v>
                </c:pt>
                <c:pt idx="112">
                  <c:v>2.140684410646388</c:v>
                </c:pt>
                <c:pt idx="113">
                  <c:v>2.094915254237288</c:v>
                </c:pt>
                <c:pt idx="114">
                  <c:v>2.496503496503497</c:v>
                </c:pt>
                <c:pt idx="115">
                  <c:v>2.262295081967213</c:v>
                </c:pt>
                <c:pt idx="116">
                  <c:v>2.729537366548042</c:v>
                </c:pt>
                <c:pt idx="117">
                  <c:v>2.235690235690236</c:v>
                </c:pt>
                <c:pt idx="118">
                  <c:v>2.618867924528302</c:v>
                </c:pt>
                <c:pt idx="119">
                  <c:v>2.516981132075472</c:v>
                </c:pt>
                <c:pt idx="120">
                  <c:v>2.446096654275093</c:v>
                </c:pt>
                <c:pt idx="121">
                  <c:v>2.224615384615384</c:v>
                </c:pt>
                <c:pt idx="122">
                  <c:v>2.170588235294117</c:v>
                </c:pt>
                <c:pt idx="123">
                  <c:v>2.400735294117647</c:v>
                </c:pt>
                <c:pt idx="124">
                  <c:v>2.496478873239436</c:v>
                </c:pt>
                <c:pt idx="125">
                  <c:v>2.310457516339869</c:v>
                </c:pt>
                <c:pt idx="126">
                  <c:v>2.521739130434783</c:v>
                </c:pt>
                <c:pt idx="127">
                  <c:v>2.394160583941606</c:v>
                </c:pt>
                <c:pt idx="128">
                  <c:v>3.04014598540146</c:v>
                </c:pt>
                <c:pt idx="129">
                  <c:v>3.970588235294118</c:v>
                </c:pt>
                <c:pt idx="130">
                  <c:v>2.089595375722543</c:v>
                </c:pt>
                <c:pt idx="131">
                  <c:v>2.011976047904191</c:v>
                </c:pt>
                <c:pt idx="132">
                  <c:v>1.963076923076923</c:v>
                </c:pt>
                <c:pt idx="133">
                  <c:v>2.610486891385768</c:v>
                </c:pt>
                <c:pt idx="134">
                  <c:v>2.211111111111111</c:v>
                </c:pt>
                <c:pt idx="135">
                  <c:v>2.566775244299674</c:v>
                </c:pt>
                <c:pt idx="136">
                  <c:v>2.645051194539249</c:v>
                </c:pt>
                <c:pt idx="137">
                  <c:v>2.711111111111111</c:v>
                </c:pt>
                <c:pt idx="138">
                  <c:v>3.827586206896551</c:v>
                </c:pt>
                <c:pt idx="139">
                  <c:v>3.050541516245487</c:v>
                </c:pt>
                <c:pt idx="140">
                  <c:v>2.471571906354515</c:v>
                </c:pt>
                <c:pt idx="141">
                  <c:v>2.815094339622641</c:v>
                </c:pt>
                <c:pt idx="142">
                  <c:v>2.90990990990991</c:v>
                </c:pt>
                <c:pt idx="143">
                  <c:v>3.395638629283489</c:v>
                </c:pt>
                <c:pt idx="144">
                  <c:v>3.202090592334495</c:v>
                </c:pt>
                <c:pt idx="145">
                  <c:v>2.584664536741214</c:v>
                </c:pt>
                <c:pt idx="146">
                  <c:v>2.602006688963211</c:v>
                </c:pt>
                <c:pt idx="147">
                  <c:v>2.967272727272727</c:v>
                </c:pt>
                <c:pt idx="148">
                  <c:v>1.703363914373089</c:v>
                </c:pt>
                <c:pt idx="149">
                  <c:v>2.619230769230769</c:v>
                </c:pt>
                <c:pt idx="150">
                  <c:v>3.062706270627063</c:v>
                </c:pt>
                <c:pt idx="151">
                  <c:v>2.797047970479705</c:v>
                </c:pt>
                <c:pt idx="152">
                  <c:v>2.408602150537634</c:v>
                </c:pt>
                <c:pt idx="153">
                  <c:v>2.384892086330935</c:v>
                </c:pt>
                <c:pt idx="154">
                  <c:v>2.457142857142857</c:v>
                </c:pt>
                <c:pt idx="155">
                  <c:v>2.471544715447155</c:v>
                </c:pt>
                <c:pt idx="156">
                  <c:v>2.364548494983278</c:v>
                </c:pt>
                <c:pt idx="157">
                  <c:v>2.645669291338583</c:v>
                </c:pt>
                <c:pt idx="158">
                  <c:v>3.10727969348659</c:v>
                </c:pt>
                <c:pt idx="159">
                  <c:v>3.164</c:v>
                </c:pt>
                <c:pt idx="160">
                  <c:v>3.59437751004016</c:v>
                </c:pt>
                <c:pt idx="161">
                  <c:v>2.624505928853755</c:v>
                </c:pt>
                <c:pt idx="162">
                  <c:v>3.248847926267281</c:v>
                </c:pt>
                <c:pt idx="163">
                  <c:v>3.40983606557377</c:v>
                </c:pt>
                <c:pt idx="164">
                  <c:v>3.781746031746032</c:v>
                </c:pt>
                <c:pt idx="165">
                  <c:v>2.883720930232558</c:v>
                </c:pt>
                <c:pt idx="166">
                  <c:v>3.066666666666667</c:v>
                </c:pt>
                <c:pt idx="168">
                  <c:v>3.22983870967742</c:v>
                </c:pt>
                <c:pt idx="169">
                  <c:v>3.817813765182186</c:v>
                </c:pt>
                <c:pt idx="170">
                  <c:v>3.172932330827068</c:v>
                </c:pt>
                <c:pt idx="171">
                  <c:v>3.286343612334802</c:v>
                </c:pt>
                <c:pt idx="172">
                  <c:v>2.70383275261324</c:v>
                </c:pt>
                <c:pt idx="173">
                  <c:v>2.589830508474576</c:v>
                </c:pt>
                <c:pt idx="174">
                  <c:v>2.925619834710744</c:v>
                </c:pt>
                <c:pt idx="175">
                  <c:v>3.12987012987013</c:v>
                </c:pt>
                <c:pt idx="176">
                  <c:v>3.362549800796813</c:v>
                </c:pt>
                <c:pt idx="177">
                  <c:v>2.683673469387755</c:v>
                </c:pt>
                <c:pt idx="178">
                  <c:v>3.21551724137931</c:v>
                </c:pt>
                <c:pt idx="179">
                  <c:v>2.969957081545064</c:v>
                </c:pt>
                <c:pt idx="180">
                  <c:v>2.617424242424242</c:v>
                </c:pt>
                <c:pt idx="181">
                  <c:v>3.28</c:v>
                </c:pt>
                <c:pt idx="182">
                  <c:v>3.392452830188679</c:v>
                </c:pt>
                <c:pt idx="183">
                  <c:v>3.008130081300813</c:v>
                </c:pt>
                <c:pt idx="184">
                  <c:v>3.273037542662116</c:v>
                </c:pt>
                <c:pt idx="185">
                  <c:v>2.864406779661017</c:v>
                </c:pt>
              </c:numCache>
            </c:numRef>
          </c:val>
          <c:smooth val="0"/>
        </c:ser>
        <c:dLbls>
          <c:showLegendKey val="0"/>
          <c:showVal val="0"/>
          <c:showCatName val="0"/>
          <c:showSerName val="0"/>
          <c:showPercent val="0"/>
          <c:showBubbleSize val="0"/>
        </c:dLbls>
        <c:marker val="1"/>
        <c:smooth val="0"/>
        <c:axId val="726190104"/>
        <c:axId val="730561400"/>
      </c:lineChart>
      <c:catAx>
        <c:axId val="725985048"/>
        <c:scaling>
          <c:orientation val="minMax"/>
        </c:scaling>
        <c:delete val="0"/>
        <c:axPos val="b"/>
        <c:majorTickMark val="out"/>
        <c:minorTickMark val="none"/>
        <c:tickLblPos val="nextTo"/>
        <c:txPr>
          <a:bodyPr/>
          <a:lstStyle/>
          <a:p>
            <a:pPr>
              <a:defRPr sz="1200"/>
            </a:pPr>
            <a:endParaRPr lang="en-US"/>
          </a:p>
        </c:txPr>
        <c:crossAx val="730602120"/>
        <c:crosses val="autoZero"/>
        <c:auto val="1"/>
        <c:lblAlgn val="ctr"/>
        <c:lblOffset val="100"/>
        <c:tickLblSkip val="15"/>
        <c:noMultiLvlLbl val="0"/>
      </c:catAx>
      <c:valAx>
        <c:axId val="730602120"/>
        <c:scaling>
          <c:orientation val="minMax"/>
        </c:scaling>
        <c:delete val="0"/>
        <c:axPos val="l"/>
        <c:majorGridlines/>
        <c:title>
          <c:tx>
            <c:rich>
              <a:bodyPr rot="-5400000" vert="horz"/>
              <a:lstStyle/>
              <a:p>
                <a:pPr>
                  <a:defRPr sz="1200"/>
                </a:pPr>
                <a:r>
                  <a:rPr lang="en-US" sz="1200"/>
                  <a:t>Inf</a:t>
                </a:r>
                <a:r>
                  <a:rPr lang="en-US" sz="1200" baseline="0"/>
                  <a:t> COD, tBOD, TSS (mg/L)</a:t>
                </a:r>
                <a:endParaRPr lang="en-US" sz="1200"/>
              </a:p>
            </c:rich>
          </c:tx>
          <c:layout/>
          <c:overlay val="0"/>
        </c:title>
        <c:numFmt formatCode="General" sourceLinked="1"/>
        <c:majorTickMark val="out"/>
        <c:minorTickMark val="none"/>
        <c:tickLblPos val="nextTo"/>
        <c:txPr>
          <a:bodyPr/>
          <a:lstStyle/>
          <a:p>
            <a:pPr>
              <a:defRPr sz="1200"/>
            </a:pPr>
            <a:endParaRPr lang="en-US"/>
          </a:p>
        </c:txPr>
        <c:crossAx val="725985048"/>
        <c:crosses val="autoZero"/>
        <c:crossBetween val="between"/>
      </c:valAx>
      <c:valAx>
        <c:axId val="730561400"/>
        <c:scaling>
          <c:orientation val="minMax"/>
        </c:scaling>
        <c:delete val="0"/>
        <c:axPos val="r"/>
        <c:title>
          <c:tx>
            <c:rich>
              <a:bodyPr rot="-5400000" vert="horz"/>
              <a:lstStyle/>
              <a:p>
                <a:pPr>
                  <a:defRPr sz="1200"/>
                </a:pPr>
                <a:r>
                  <a:rPr lang="en-US" sz="1200"/>
                  <a:t>Inf COD/tBOD</a:t>
                </a:r>
              </a:p>
            </c:rich>
          </c:tx>
          <c:layout/>
          <c:overlay val="0"/>
        </c:title>
        <c:numFmt formatCode="0.00" sourceLinked="1"/>
        <c:majorTickMark val="out"/>
        <c:minorTickMark val="none"/>
        <c:tickLblPos val="nextTo"/>
        <c:txPr>
          <a:bodyPr/>
          <a:lstStyle/>
          <a:p>
            <a:pPr>
              <a:defRPr sz="1200"/>
            </a:pPr>
            <a:endParaRPr lang="en-US"/>
          </a:p>
        </c:txPr>
        <c:crossAx val="726190104"/>
        <c:crosses val="max"/>
        <c:crossBetween val="between"/>
      </c:valAx>
      <c:catAx>
        <c:axId val="726190104"/>
        <c:scaling>
          <c:orientation val="minMax"/>
        </c:scaling>
        <c:delete val="1"/>
        <c:axPos val="b"/>
        <c:majorTickMark val="out"/>
        <c:minorTickMark val="none"/>
        <c:tickLblPos val="nextTo"/>
        <c:crossAx val="730561400"/>
        <c:crosses val="autoZero"/>
        <c:auto val="1"/>
        <c:lblAlgn val="ctr"/>
        <c:lblOffset val="100"/>
        <c:noMultiLvlLbl val="0"/>
      </c:catAx>
    </c:plotArea>
    <c:legend>
      <c:legendPos val="r"/>
      <c:layout>
        <c:manualLayout>
          <c:xMode val="edge"/>
          <c:yMode val="edge"/>
          <c:x val="0.0952355474796419"/>
          <c:y val="0.00636452061139416"/>
          <c:w val="0.876606938555758"/>
          <c:h val="0.185692811125882"/>
        </c:manualLayout>
      </c:layout>
      <c:overlay val="0"/>
      <c:txPr>
        <a:bodyPr/>
        <a:lstStyle/>
        <a:p>
          <a:pPr>
            <a:defRPr sz="1200"/>
          </a:pPr>
          <a:endParaRPr lang="en-US"/>
        </a:p>
      </c:txPr>
    </c:legend>
    <c:plotVisOnly val="1"/>
    <c:dispBlanksAs val="span"/>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sz="1200" b="0" i="0"/>
            </a:pPr>
            <a:r>
              <a:rPr lang="en-US" sz="1200" b="0" i="0"/>
              <a:t>LWWTP Effluent Total Ammonia</a:t>
            </a:r>
          </a:p>
        </c:rich>
      </c:tx>
      <c:layout>
        <c:manualLayout>
          <c:xMode val="edge"/>
          <c:yMode val="edge"/>
          <c:x val="0.276965223097113"/>
          <c:y val="0.0277777777777778"/>
        </c:manualLayout>
      </c:layout>
      <c:overlay val="0"/>
    </c:title>
    <c:autoTitleDeleted val="0"/>
    <c:plotArea>
      <c:layout>
        <c:manualLayout>
          <c:layoutTarget val="inner"/>
          <c:xMode val="edge"/>
          <c:yMode val="edge"/>
          <c:x val="0.0975971128608926"/>
          <c:y val="0.143993146689997"/>
          <c:w val="0.818694663167105"/>
          <c:h val="0.705632473024206"/>
        </c:manualLayout>
      </c:layout>
      <c:scatterChart>
        <c:scatterStyle val="lineMarker"/>
        <c:varyColors val="0"/>
        <c:ser>
          <c:idx val="0"/>
          <c:order val="0"/>
          <c:tx>
            <c:v>Total NH3-N</c:v>
          </c:tx>
          <c:spPr>
            <a:ln w="28575">
              <a:noFill/>
            </a:ln>
          </c:spPr>
          <c:marker>
            <c:symbol val="diamond"/>
            <c:size val="4"/>
          </c:marker>
          <c:xVal>
            <c:numRef>
              <c:f>DATA!$AB$5:$AB$194</c:f>
              <c:numCache>
                <c:formatCode>m/d/yyyy</c:formatCode>
                <c:ptCount val="190"/>
                <c:pt idx="0">
                  <c:v>39810.0</c:v>
                </c:pt>
                <c:pt idx="1">
                  <c:v>39811.0</c:v>
                </c:pt>
                <c:pt idx="2">
                  <c:v>39812.0</c:v>
                </c:pt>
                <c:pt idx="3">
                  <c:v>39813.0</c:v>
                </c:pt>
                <c:pt idx="4">
                  <c:v>39814.0</c:v>
                </c:pt>
                <c:pt idx="5">
                  <c:v>39815.0</c:v>
                </c:pt>
                <c:pt idx="6">
                  <c:v>39816.0</c:v>
                </c:pt>
                <c:pt idx="7">
                  <c:v>39817.0</c:v>
                </c:pt>
                <c:pt idx="8">
                  <c:v>39818.0</c:v>
                </c:pt>
                <c:pt idx="9">
                  <c:v>39819.0</c:v>
                </c:pt>
                <c:pt idx="10">
                  <c:v>39820.0</c:v>
                </c:pt>
                <c:pt idx="11">
                  <c:v>39821.0</c:v>
                </c:pt>
                <c:pt idx="12">
                  <c:v>39822.0</c:v>
                </c:pt>
                <c:pt idx="13">
                  <c:v>39823.0</c:v>
                </c:pt>
                <c:pt idx="14">
                  <c:v>39824.0</c:v>
                </c:pt>
                <c:pt idx="15">
                  <c:v>39825.0</c:v>
                </c:pt>
                <c:pt idx="16">
                  <c:v>39826.0</c:v>
                </c:pt>
                <c:pt idx="17">
                  <c:v>39827.0</c:v>
                </c:pt>
                <c:pt idx="18">
                  <c:v>39828.0</c:v>
                </c:pt>
                <c:pt idx="19">
                  <c:v>39829.0</c:v>
                </c:pt>
                <c:pt idx="20">
                  <c:v>39830.0</c:v>
                </c:pt>
                <c:pt idx="21">
                  <c:v>39831.0</c:v>
                </c:pt>
                <c:pt idx="22">
                  <c:v>39832.0</c:v>
                </c:pt>
                <c:pt idx="23">
                  <c:v>39833.0</c:v>
                </c:pt>
                <c:pt idx="24">
                  <c:v>39834.0</c:v>
                </c:pt>
                <c:pt idx="25">
                  <c:v>39835.0</c:v>
                </c:pt>
                <c:pt idx="26">
                  <c:v>39836.0</c:v>
                </c:pt>
                <c:pt idx="27">
                  <c:v>39837.0</c:v>
                </c:pt>
                <c:pt idx="28">
                  <c:v>39838.0</c:v>
                </c:pt>
                <c:pt idx="29">
                  <c:v>39839.0</c:v>
                </c:pt>
                <c:pt idx="30">
                  <c:v>39840.0</c:v>
                </c:pt>
                <c:pt idx="31">
                  <c:v>39841.0</c:v>
                </c:pt>
                <c:pt idx="32">
                  <c:v>39842.0</c:v>
                </c:pt>
                <c:pt idx="33">
                  <c:v>39843.0</c:v>
                </c:pt>
                <c:pt idx="34">
                  <c:v>39844.0</c:v>
                </c:pt>
                <c:pt idx="35">
                  <c:v>39845.0</c:v>
                </c:pt>
                <c:pt idx="36">
                  <c:v>39846.0</c:v>
                </c:pt>
                <c:pt idx="37">
                  <c:v>39847.0</c:v>
                </c:pt>
                <c:pt idx="38">
                  <c:v>39848.0</c:v>
                </c:pt>
                <c:pt idx="39">
                  <c:v>39849.0</c:v>
                </c:pt>
                <c:pt idx="40">
                  <c:v>39850.0</c:v>
                </c:pt>
                <c:pt idx="41">
                  <c:v>39851.0</c:v>
                </c:pt>
                <c:pt idx="42">
                  <c:v>39852.0</c:v>
                </c:pt>
                <c:pt idx="43">
                  <c:v>39853.0</c:v>
                </c:pt>
                <c:pt idx="44">
                  <c:v>39854.0</c:v>
                </c:pt>
                <c:pt idx="45">
                  <c:v>39855.0</c:v>
                </c:pt>
                <c:pt idx="46">
                  <c:v>39856.0</c:v>
                </c:pt>
                <c:pt idx="47">
                  <c:v>39857.0</c:v>
                </c:pt>
                <c:pt idx="48">
                  <c:v>39858.0</c:v>
                </c:pt>
                <c:pt idx="49">
                  <c:v>39859.0</c:v>
                </c:pt>
                <c:pt idx="50">
                  <c:v>39860.0</c:v>
                </c:pt>
                <c:pt idx="51">
                  <c:v>39861.0</c:v>
                </c:pt>
                <c:pt idx="52">
                  <c:v>39862.0</c:v>
                </c:pt>
                <c:pt idx="53">
                  <c:v>39863.0</c:v>
                </c:pt>
                <c:pt idx="54">
                  <c:v>39864.0</c:v>
                </c:pt>
                <c:pt idx="55">
                  <c:v>39865.0</c:v>
                </c:pt>
                <c:pt idx="56">
                  <c:v>39866.0</c:v>
                </c:pt>
                <c:pt idx="57">
                  <c:v>39867.0</c:v>
                </c:pt>
                <c:pt idx="58">
                  <c:v>39868.0</c:v>
                </c:pt>
                <c:pt idx="59">
                  <c:v>39869.0</c:v>
                </c:pt>
                <c:pt idx="60">
                  <c:v>39870.0</c:v>
                </c:pt>
                <c:pt idx="61">
                  <c:v>39871.0</c:v>
                </c:pt>
                <c:pt idx="62">
                  <c:v>39872.0</c:v>
                </c:pt>
                <c:pt idx="63">
                  <c:v>39873.0</c:v>
                </c:pt>
                <c:pt idx="64">
                  <c:v>39874.0</c:v>
                </c:pt>
                <c:pt idx="65">
                  <c:v>39875.0</c:v>
                </c:pt>
                <c:pt idx="66">
                  <c:v>39876.0</c:v>
                </c:pt>
                <c:pt idx="67">
                  <c:v>39877.0</c:v>
                </c:pt>
                <c:pt idx="68">
                  <c:v>39878.0</c:v>
                </c:pt>
                <c:pt idx="69">
                  <c:v>39879.0</c:v>
                </c:pt>
                <c:pt idx="70">
                  <c:v>39880.0</c:v>
                </c:pt>
                <c:pt idx="71">
                  <c:v>39881.0</c:v>
                </c:pt>
                <c:pt idx="72">
                  <c:v>39882.0</c:v>
                </c:pt>
                <c:pt idx="73">
                  <c:v>39883.0</c:v>
                </c:pt>
                <c:pt idx="74">
                  <c:v>39884.0</c:v>
                </c:pt>
                <c:pt idx="75">
                  <c:v>39885.0</c:v>
                </c:pt>
                <c:pt idx="76">
                  <c:v>39886.0</c:v>
                </c:pt>
                <c:pt idx="77">
                  <c:v>39887.0</c:v>
                </c:pt>
                <c:pt idx="78">
                  <c:v>39888.0</c:v>
                </c:pt>
                <c:pt idx="79">
                  <c:v>39889.0</c:v>
                </c:pt>
                <c:pt idx="80">
                  <c:v>39890.0</c:v>
                </c:pt>
                <c:pt idx="81">
                  <c:v>39891.0</c:v>
                </c:pt>
                <c:pt idx="82">
                  <c:v>39892.0</c:v>
                </c:pt>
                <c:pt idx="83">
                  <c:v>39893.0</c:v>
                </c:pt>
                <c:pt idx="84">
                  <c:v>39894.0</c:v>
                </c:pt>
                <c:pt idx="85">
                  <c:v>39895.0</c:v>
                </c:pt>
                <c:pt idx="86">
                  <c:v>39896.0</c:v>
                </c:pt>
                <c:pt idx="87">
                  <c:v>39897.0</c:v>
                </c:pt>
                <c:pt idx="88">
                  <c:v>39898.0</c:v>
                </c:pt>
                <c:pt idx="89">
                  <c:v>39899.0</c:v>
                </c:pt>
                <c:pt idx="90">
                  <c:v>39900.0</c:v>
                </c:pt>
                <c:pt idx="91">
                  <c:v>39901.0</c:v>
                </c:pt>
                <c:pt idx="92">
                  <c:v>39902.0</c:v>
                </c:pt>
                <c:pt idx="93">
                  <c:v>39903.0</c:v>
                </c:pt>
                <c:pt idx="94">
                  <c:v>39904.0</c:v>
                </c:pt>
                <c:pt idx="95">
                  <c:v>39905.0</c:v>
                </c:pt>
                <c:pt idx="96">
                  <c:v>39906.0</c:v>
                </c:pt>
                <c:pt idx="97">
                  <c:v>39907.0</c:v>
                </c:pt>
                <c:pt idx="98">
                  <c:v>39908.0</c:v>
                </c:pt>
                <c:pt idx="99">
                  <c:v>39909.0</c:v>
                </c:pt>
                <c:pt idx="100">
                  <c:v>39910.0</c:v>
                </c:pt>
                <c:pt idx="101">
                  <c:v>39911.0</c:v>
                </c:pt>
                <c:pt idx="102">
                  <c:v>39912.0</c:v>
                </c:pt>
                <c:pt idx="103">
                  <c:v>39913.0</c:v>
                </c:pt>
                <c:pt idx="104">
                  <c:v>39914.0</c:v>
                </c:pt>
                <c:pt idx="105">
                  <c:v>39915.0</c:v>
                </c:pt>
                <c:pt idx="106">
                  <c:v>39916.0</c:v>
                </c:pt>
                <c:pt idx="107">
                  <c:v>39917.0</c:v>
                </c:pt>
                <c:pt idx="108">
                  <c:v>39918.0</c:v>
                </c:pt>
                <c:pt idx="109">
                  <c:v>39919.0</c:v>
                </c:pt>
                <c:pt idx="110">
                  <c:v>39920.0</c:v>
                </c:pt>
                <c:pt idx="111">
                  <c:v>39921.0</c:v>
                </c:pt>
                <c:pt idx="112">
                  <c:v>39922.0</c:v>
                </c:pt>
                <c:pt idx="113">
                  <c:v>39923.0</c:v>
                </c:pt>
                <c:pt idx="114">
                  <c:v>39924.0</c:v>
                </c:pt>
                <c:pt idx="115">
                  <c:v>39925.0</c:v>
                </c:pt>
                <c:pt idx="116">
                  <c:v>39926.0</c:v>
                </c:pt>
                <c:pt idx="117">
                  <c:v>39927.0</c:v>
                </c:pt>
                <c:pt idx="118">
                  <c:v>39928.0</c:v>
                </c:pt>
                <c:pt idx="119">
                  <c:v>39929.0</c:v>
                </c:pt>
                <c:pt idx="120">
                  <c:v>39930.0</c:v>
                </c:pt>
                <c:pt idx="121">
                  <c:v>39931.0</c:v>
                </c:pt>
                <c:pt idx="122">
                  <c:v>39932.0</c:v>
                </c:pt>
                <c:pt idx="123">
                  <c:v>39933.0</c:v>
                </c:pt>
                <c:pt idx="124">
                  <c:v>39934.0</c:v>
                </c:pt>
                <c:pt idx="125">
                  <c:v>39935.0</c:v>
                </c:pt>
                <c:pt idx="126">
                  <c:v>39936.0</c:v>
                </c:pt>
                <c:pt idx="127">
                  <c:v>39937.0</c:v>
                </c:pt>
                <c:pt idx="128">
                  <c:v>39938.0</c:v>
                </c:pt>
                <c:pt idx="129">
                  <c:v>39939.0</c:v>
                </c:pt>
                <c:pt idx="130">
                  <c:v>39940.0</c:v>
                </c:pt>
                <c:pt idx="131">
                  <c:v>39941.0</c:v>
                </c:pt>
                <c:pt idx="132">
                  <c:v>39942.0</c:v>
                </c:pt>
                <c:pt idx="133">
                  <c:v>39943.0</c:v>
                </c:pt>
                <c:pt idx="134">
                  <c:v>39944.0</c:v>
                </c:pt>
                <c:pt idx="135">
                  <c:v>39945.0</c:v>
                </c:pt>
                <c:pt idx="136">
                  <c:v>39946.0</c:v>
                </c:pt>
                <c:pt idx="137">
                  <c:v>39947.0</c:v>
                </c:pt>
                <c:pt idx="138">
                  <c:v>39948.0</c:v>
                </c:pt>
                <c:pt idx="139">
                  <c:v>39949.0</c:v>
                </c:pt>
                <c:pt idx="140">
                  <c:v>39950.0</c:v>
                </c:pt>
                <c:pt idx="141">
                  <c:v>39951.0</c:v>
                </c:pt>
                <c:pt idx="142">
                  <c:v>39952.0</c:v>
                </c:pt>
                <c:pt idx="143">
                  <c:v>39953.0</c:v>
                </c:pt>
                <c:pt idx="144">
                  <c:v>39954.0</c:v>
                </c:pt>
                <c:pt idx="145">
                  <c:v>39955.0</c:v>
                </c:pt>
                <c:pt idx="146">
                  <c:v>39956.0</c:v>
                </c:pt>
                <c:pt idx="147">
                  <c:v>39957.0</c:v>
                </c:pt>
                <c:pt idx="148">
                  <c:v>39958.0</c:v>
                </c:pt>
                <c:pt idx="149">
                  <c:v>39959.0</c:v>
                </c:pt>
                <c:pt idx="150">
                  <c:v>39960.0</c:v>
                </c:pt>
                <c:pt idx="151">
                  <c:v>39961.0</c:v>
                </c:pt>
                <c:pt idx="152">
                  <c:v>39962.0</c:v>
                </c:pt>
                <c:pt idx="153">
                  <c:v>39963.0</c:v>
                </c:pt>
                <c:pt idx="154">
                  <c:v>39964.0</c:v>
                </c:pt>
                <c:pt idx="155">
                  <c:v>39965.0</c:v>
                </c:pt>
                <c:pt idx="156">
                  <c:v>39966.0</c:v>
                </c:pt>
                <c:pt idx="157">
                  <c:v>39967.0</c:v>
                </c:pt>
                <c:pt idx="158">
                  <c:v>39968.0</c:v>
                </c:pt>
                <c:pt idx="159">
                  <c:v>39969.0</c:v>
                </c:pt>
                <c:pt idx="160">
                  <c:v>39970.0</c:v>
                </c:pt>
                <c:pt idx="161">
                  <c:v>39971.0</c:v>
                </c:pt>
                <c:pt idx="162">
                  <c:v>39972.0</c:v>
                </c:pt>
                <c:pt idx="163">
                  <c:v>39973.0</c:v>
                </c:pt>
                <c:pt idx="164">
                  <c:v>39974.0</c:v>
                </c:pt>
                <c:pt idx="165">
                  <c:v>39975.0</c:v>
                </c:pt>
                <c:pt idx="166">
                  <c:v>39976.0</c:v>
                </c:pt>
                <c:pt idx="167">
                  <c:v>39977.0</c:v>
                </c:pt>
                <c:pt idx="168">
                  <c:v>39978.0</c:v>
                </c:pt>
                <c:pt idx="169">
                  <c:v>39979.0</c:v>
                </c:pt>
                <c:pt idx="170">
                  <c:v>39980.0</c:v>
                </c:pt>
                <c:pt idx="171">
                  <c:v>39981.0</c:v>
                </c:pt>
                <c:pt idx="172">
                  <c:v>39982.0</c:v>
                </c:pt>
                <c:pt idx="173">
                  <c:v>39983.0</c:v>
                </c:pt>
                <c:pt idx="174">
                  <c:v>39984.0</c:v>
                </c:pt>
                <c:pt idx="175">
                  <c:v>39985.0</c:v>
                </c:pt>
                <c:pt idx="176">
                  <c:v>39986.0</c:v>
                </c:pt>
                <c:pt idx="177">
                  <c:v>39987.0</c:v>
                </c:pt>
                <c:pt idx="178">
                  <c:v>39988.0</c:v>
                </c:pt>
                <c:pt idx="179">
                  <c:v>39989.0</c:v>
                </c:pt>
                <c:pt idx="180">
                  <c:v>39990.0</c:v>
                </c:pt>
                <c:pt idx="181">
                  <c:v>39991.0</c:v>
                </c:pt>
                <c:pt idx="182">
                  <c:v>39992.0</c:v>
                </c:pt>
                <c:pt idx="183">
                  <c:v>39993.0</c:v>
                </c:pt>
                <c:pt idx="184">
                  <c:v>39994.0</c:v>
                </c:pt>
                <c:pt idx="185">
                  <c:v>39995.0</c:v>
                </c:pt>
                <c:pt idx="186">
                  <c:v>39996.0</c:v>
                </c:pt>
                <c:pt idx="187">
                  <c:v>39997.0</c:v>
                </c:pt>
                <c:pt idx="188">
                  <c:v>39998.0</c:v>
                </c:pt>
                <c:pt idx="189">
                  <c:v>39999.0</c:v>
                </c:pt>
              </c:numCache>
            </c:numRef>
          </c:xVal>
          <c:yVal>
            <c:numRef>
              <c:f>DATA!$AC$5:$AC$194</c:f>
              <c:numCache>
                <c:formatCode>General</c:formatCode>
                <c:ptCount val="190"/>
                <c:pt idx="0">
                  <c:v>1.0</c:v>
                </c:pt>
                <c:pt idx="1">
                  <c:v>1.0</c:v>
                </c:pt>
                <c:pt idx="2">
                  <c:v>1.0</c:v>
                </c:pt>
                <c:pt idx="3">
                  <c:v>1.0</c:v>
                </c:pt>
                <c:pt idx="4">
                  <c:v>1.0</c:v>
                </c:pt>
                <c:pt idx="5">
                  <c:v>1.0</c:v>
                </c:pt>
                <c:pt idx="6">
                  <c:v>1.0</c:v>
                </c:pt>
                <c:pt idx="7">
                  <c:v>1.0</c:v>
                </c:pt>
                <c:pt idx="8">
                  <c:v>1.0</c:v>
                </c:pt>
                <c:pt idx="9">
                  <c:v>1.0</c:v>
                </c:pt>
                <c:pt idx="10">
                  <c:v>1.0</c:v>
                </c:pt>
                <c:pt idx="11">
                  <c:v>1.0</c:v>
                </c:pt>
                <c:pt idx="12">
                  <c:v>1.0</c:v>
                </c:pt>
                <c:pt idx="13">
                  <c:v>1.0</c:v>
                </c:pt>
                <c:pt idx="14">
                  <c:v>1.0</c:v>
                </c:pt>
                <c:pt idx="15">
                  <c:v>1.0</c:v>
                </c:pt>
                <c:pt idx="16">
                  <c:v>1.0</c:v>
                </c:pt>
                <c:pt idx="17">
                  <c:v>1.0</c:v>
                </c:pt>
                <c:pt idx="18">
                  <c:v>1.0</c:v>
                </c:pt>
                <c:pt idx="19">
                  <c:v>1.0</c:v>
                </c:pt>
                <c:pt idx="20">
                  <c:v>1.0</c:v>
                </c:pt>
                <c:pt idx="21">
                  <c:v>1.0</c:v>
                </c:pt>
                <c:pt idx="22">
                  <c:v>1.0</c:v>
                </c:pt>
                <c:pt idx="23">
                  <c:v>1.0</c:v>
                </c:pt>
                <c:pt idx="24">
                  <c:v>1.0</c:v>
                </c:pt>
                <c:pt idx="25">
                  <c:v>1.0</c:v>
                </c:pt>
                <c:pt idx="26">
                  <c:v>1.0</c:v>
                </c:pt>
                <c:pt idx="27">
                  <c:v>1.0</c:v>
                </c:pt>
                <c:pt idx="28">
                  <c:v>1.0</c:v>
                </c:pt>
                <c:pt idx="29">
                  <c:v>1.0</c:v>
                </c:pt>
                <c:pt idx="30">
                  <c:v>1.0</c:v>
                </c:pt>
                <c:pt idx="31">
                  <c:v>1.0</c:v>
                </c:pt>
                <c:pt idx="32">
                  <c:v>1.0</c:v>
                </c:pt>
                <c:pt idx="33">
                  <c:v>1.0</c:v>
                </c:pt>
                <c:pt idx="34">
                  <c:v>1.0</c:v>
                </c:pt>
                <c:pt idx="35">
                  <c:v>1.0</c:v>
                </c:pt>
                <c:pt idx="36">
                  <c:v>1.0</c:v>
                </c:pt>
                <c:pt idx="37">
                  <c:v>1.0</c:v>
                </c:pt>
                <c:pt idx="38">
                  <c:v>1.0</c:v>
                </c:pt>
                <c:pt idx="39">
                  <c:v>1.0</c:v>
                </c:pt>
                <c:pt idx="40">
                  <c:v>1.0</c:v>
                </c:pt>
                <c:pt idx="41">
                  <c:v>1.0</c:v>
                </c:pt>
                <c:pt idx="42">
                  <c:v>1.0</c:v>
                </c:pt>
                <c:pt idx="43">
                  <c:v>1.0</c:v>
                </c:pt>
                <c:pt idx="44">
                  <c:v>1.0</c:v>
                </c:pt>
                <c:pt idx="45">
                  <c:v>1.0</c:v>
                </c:pt>
                <c:pt idx="46">
                  <c:v>1.0</c:v>
                </c:pt>
                <c:pt idx="47">
                  <c:v>1.0</c:v>
                </c:pt>
                <c:pt idx="48">
                  <c:v>1.0</c:v>
                </c:pt>
                <c:pt idx="49">
                  <c:v>1.0</c:v>
                </c:pt>
                <c:pt idx="50">
                  <c:v>1.0</c:v>
                </c:pt>
                <c:pt idx="51">
                  <c:v>1.0</c:v>
                </c:pt>
                <c:pt idx="52">
                  <c:v>1.0</c:v>
                </c:pt>
                <c:pt idx="53">
                  <c:v>1.0</c:v>
                </c:pt>
                <c:pt idx="54">
                  <c:v>1.0</c:v>
                </c:pt>
                <c:pt idx="55">
                  <c:v>1.0</c:v>
                </c:pt>
                <c:pt idx="56">
                  <c:v>1.0</c:v>
                </c:pt>
                <c:pt idx="57">
                  <c:v>1.0</c:v>
                </c:pt>
                <c:pt idx="58">
                  <c:v>1.0</c:v>
                </c:pt>
                <c:pt idx="59">
                  <c:v>1.0</c:v>
                </c:pt>
                <c:pt idx="60">
                  <c:v>1.0</c:v>
                </c:pt>
                <c:pt idx="61">
                  <c:v>1.420999999999999</c:v>
                </c:pt>
                <c:pt idx="62">
                  <c:v>1.0</c:v>
                </c:pt>
                <c:pt idx="63">
                  <c:v>1.0</c:v>
                </c:pt>
                <c:pt idx="64">
                  <c:v>1.0</c:v>
                </c:pt>
                <c:pt idx="65">
                  <c:v>1.0</c:v>
                </c:pt>
                <c:pt idx="66">
                  <c:v>1.0</c:v>
                </c:pt>
                <c:pt idx="67">
                  <c:v>1.0</c:v>
                </c:pt>
                <c:pt idx="68">
                  <c:v>1.0</c:v>
                </c:pt>
                <c:pt idx="69">
                  <c:v>1.0</c:v>
                </c:pt>
                <c:pt idx="70">
                  <c:v>1.776</c:v>
                </c:pt>
                <c:pt idx="71">
                  <c:v>1.066</c:v>
                </c:pt>
                <c:pt idx="72">
                  <c:v>1.0</c:v>
                </c:pt>
                <c:pt idx="73">
                  <c:v>1.0</c:v>
                </c:pt>
                <c:pt idx="74">
                  <c:v>1.0</c:v>
                </c:pt>
                <c:pt idx="75">
                  <c:v>1.0</c:v>
                </c:pt>
                <c:pt idx="76">
                  <c:v>1.0</c:v>
                </c:pt>
                <c:pt idx="77">
                  <c:v>1.0</c:v>
                </c:pt>
                <c:pt idx="78">
                  <c:v>1.420999999999999</c:v>
                </c:pt>
                <c:pt idx="79">
                  <c:v>2.132</c:v>
                </c:pt>
                <c:pt idx="80">
                  <c:v>1.0</c:v>
                </c:pt>
                <c:pt idx="81">
                  <c:v>1.0</c:v>
                </c:pt>
                <c:pt idx="82">
                  <c:v>1.0</c:v>
                </c:pt>
                <c:pt idx="83">
                  <c:v>1.0</c:v>
                </c:pt>
                <c:pt idx="84">
                  <c:v>1.0</c:v>
                </c:pt>
                <c:pt idx="85">
                  <c:v>1.776</c:v>
                </c:pt>
                <c:pt idx="86">
                  <c:v>1.420999999999999</c:v>
                </c:pt>
                <c:pt idx="87">
                  <c:v>1.0</c:v>
                </c:pt>
                <c:pt idx="88">
                  <c:v>1.0</c:v>
                </c:pt>
                <c:pt idx="89">
                  <c:v>1.0</c:v>
                </c:pt>
                <c:pt idx="90">
                  <c:v>1.066</c:v>
                </c:pt>
                <c:pt idx="91">
                  <c:v>1.420999999999999</c:v>
                </c:pt>
                <c:pt idx="92">
                  <c:v>1.0</c:v>
                </c:pt>
                <c:pt idx="93">
                  <c:v>1.066</c:v>
                </c:pt>
                <c:pt idx="94">
                  <c:v>1.066</c:v>
                </c:pt>
                <c:pt idx="95">
                  <c:v>1.066</c:v>
                </c:pt>
                <c:pt idx="96">
                  <c:v>1.066</c:v>
                </c:pt>
                <c:pt idx="97">
                  <c:v>1.066</c:v>
                </c:pt>
                <c:pt idx="98">
                  <c:v>1.0</c:v>
                </c:pt>
                <c:pt idx="99">
                  <c:v>1.420999999999999</c:v>
                </c:pt>
                <c:pt idx="100">
                  <c:v>1.420999999999999</c:v>
                </c:pt>
                <c:pt idx="101">
                  <c:v>1.420999999999999</c:v>
                </c:pt>
                <c:pt idx="102">
                  <c:v>1.066</c:v>
                </c:pt>
                <c:pt idx="103">
                  <c:v>1.0</c:v>
                </c:pt>
                <c:pt idx="104">
                  <c:v>1.0</c:v>
                </c:pt>
                <c:pt idx="105">
                  <c:v>1.066</c:v>
                </c:pt>
                <c:pt idx="106">
                  <c:v>1.066</c:v>
                </c:pt>
                <c:pt idx="107">
                  <c:v>1.066</c:v>
                </c:pt>
                <c:pt idx="108">
                  <c:v>1.066</c:v>
                </c:pt>
                <c:pt idx="109">
                  <c:v>1.066</c:v>
                </c:pt>
                <c:pt idx="110">
                  <c:v>1.0</c:v>
                </c:pt>
                <c:pt idx="111">
                  <c:v>1.0</c:v>
                </c:pt>
                <c:pt idx="112">
                  <c:v>1.066</c:v>
                </c:pt>
                <c:pt idx="113">
                  <c:v>1.0</c:v>
                </c:pt>
                <c:pt idx="114">
                  <c:v>1.0</c:v>
                </c:pt>
                <c:pt idx="115">
                  <c:v>1.066</c:v>
                </c:pt>
                <c:pt idx="116">
                  <c:v>1.0</c:v>
                </c:pt>
                <c:pt idx="117">
                  <c:v>1.0</c:v>
                </c:pt>
                <c:pt idx="118">
                  <c:v>1.066</c:v>
                </c:pt>
                <c:pt idx="119">
                  <c:v>6.039</c:v>
                </c:pt>
                <c:pt idx="120">
                  <c:v>7.744</c:v>
                </c:pt>
                <c:pt idx="121">
                  <c:v>3.197</c:v>
                </c:pt>
                <c:pt idx="122">
                  <c:v>1.066</c:v>
                </c:pt>
                <c:pt idx="123">
                  <c:v>1.0</c:v>
                </c:pt>
                <c:pt idx="124">
                  <c:v>1.0</c:v>
                </c:pt>
                <c:pt idx="125">
                  <c:v>1.0</c:v>
                </c:pt>
                <c:pt idx="126">
                  <c:v>1.0</c:v>
                </c:pt>
                <c:pt idx="127">
                  <c:v>1.066</c:v>
                </c:pt>
                <c:pt idx="128">
                  <c:v>1.420999999999999</c:v>
                </c:pt>
                <c:pt idx="129">
                  <c:v>1.0</c:v>
                </c:pt>
                <c:pt idx="130">
                  <c:v>1.0</c:v>
                </c:pt>
                <c:pt idx="131">
                  <c:v>1.0</c:v>
                </c:pt>
                <c:pt idx="132">
                  <c:v>1.0</c:v>
                </c:pt>
                <c:pt idx="133">
                  <c:v>1.0</c:v>
                </c:pt>
                <c:pt idx="134">
                  <c:v>1.0</c:v>
                </c:pt>
                <c:pt idx="135">
                  <c:v>1.0</c:v>
                </c:pt>
                <c:pt idx="136">
                  <c:v>1.0</c:v>
                </c:pt>
                <c:pt idx="137">
                  <c:v>1.0</c:v>
                </c:pt>
                <c:pt idx="138">
                  <c:v>1.0</c:v>
                </c:pt>
                <c:pt idx="139">
                  <c:v>1.0</c:v>
                </c:pt>
                <c:pt idx="140">
                  <c:v>1.0</c:v>
                </c:pt>
                <c:pt idx="141">
                  <c:v>1.0</c:v>
                </c:pt>
                <c:pt idx="142">
                  <c:v>1.0</c:v>
                </c:pt>
                <c:pt idx="143">
                  <c:v>1.0</c:v>
                </c:pt>
                <c:pt idx="144">
                  <c:v>1.0</c:v>
                </c:pt>
                <c:pt idx="145">
                  <c:v>1.0</c:v>
                </c:pt>
                <c:pt idx="146">
                  <c:v>1.0</c:v>
                </c:pt>
                <c:pt idx="147">
                  <c:v>1.0</c:v>
                </c:pt>
                <c:pt idx="148">
                  <c:v>1.0</c:v>
                </c:pt>
                <c:pt idx="149">
                  <c:v>1.066</c:v>
                </c:pt>
                <c:pt idx="150">
                  <c:v>1.420999999999999</c:v>
                </c:pt>
                <c:pt idx="151">
                  <c:v>1.420999999999999</c:v>
                </c:pt>
                <c:pt idx="152">
                  <c:v>1.0</c:v>
                </c:pt>
                <c:pt idx="153">
                  <c:v>1.0</c:v>
                </c:pt>
                <c:pt idx="154">
                  <c:v>1.0</c:v>
                </c:pt>
                <c:pt idx="155">
                  <c:v>1.066</c:v>
                </c:pt>
                <c:pt idx="156">
                  <c:v>1.420999999999999</c:v>
                </c:pt>
                <c:pt idx="157">
                  <c:v>1.776</c:v>
                </c:pt>
                <c:pt idx="158">
                  <c:v>1.066</c:v>
                </c:pt>
                <c:pt idx="159">
                  <c:v>1.776</c:v>
                </c:pt>
                <c:pt idx="160">
                  <c:v>1.776</c:v>
                </c:pt>
                <c:pt idx="161">
                  <c:v>1.066</c:v>
                </c:pt>
                <c:pt idx="162">
                  <c:v>1.0</c:v>
                </c:pt>
                <c:pt idx="163">
                  <c:v>1.0</c:v>
                </c:pt>
                <c:pt idx="164">
                  <c:v>1.0</c:v>
                </c:pt>
                <c:pt idx="165">
                  <c:v>1.0</c:v>
                </c:pt>
                <c:pt idx="166">
                  <c:v>1.0</c:v>
                </c:pt>
                <c:pt idx="167">
                  <c:v>1.0</c:v>
                </c:pt>
                <c:pt idx="168">
                  <c:v>1.0</c:v>
                </c:pt>
                <c:pt idx="169">
                  <c:v>1.0</c:v>
                </c:pt>
                <c:pt idx="170">
                  <c:v>1.0</c:v>
                </c:pt>
                <c:pt idx="171">
                  <c:v>1.0</c:v>
                </c:pt>
                <c:pt idx="172">
                  <c:v>1.0</c:v>
                </c:pt>
                <c:pt idx="173">
                  <c:v>1.0</c:v>
                </c:pt>
                <c:pt idx="174">
                  <c:v>1.0</c:v>
                </c:pt>
                <c:pt idx="175">
                  <c:v>1.0</c:v>
                </c:pt>
                <c:pt idx="176">
                  <c:v>1.0</c:v>
                </c:pt>
                <c:pt idx="177">
                  <c:v>1.0</c:v>
                </c:pt>
                <c:pt idx="178">
                  <c:v>1.0</c:v>
                </c:pt>
                <c:pt idx="179">
                  <c:v>1.0</c:v>
                </c:pt>
                <c:pt idx="180">
                  <c:v>1.0</c:v>
                </c:pt>
                <c:pt idx="181">
                  <c:v>1.0</c:v>
                </c:pt>
                <c:pt idx="182">
                  <c:v>1.0</c:v>
                </c:pt>
                <c:pt idx="183">
                  <c:v>1.0</c:v>
                </c:pt>
                <c:pt idx="184">
                  <c:v>1.0</c:v>
                </c:pt>
                <c:pt idx="185">
                  <c:v>1.0</c:v>
                </c:pt>
                <c:pt idx="186">
                  <c:v>1.0</c:v>
                </c:pt>
                <c:pt idx="187">
                  <c:v>1.0</c:v>
                </c:pt>
                <c:pt idx="188">
                  <c:v>1.0</c:v>
                </c:pt>
                <c:pt idx="189">
                  <c:v>1.0</c:v>
                </c:pt>
              </c:numCache>
            </c:numRef>
          </c:yVal>
          <c:smooth val="0"/>
        </c:ser>
        <c:ser>
          <c:idx val="1"/>
          <c:order val="1"/>
          <c:tx>
            <c:v>30-d avg total NH3-N</c:v>
          </c:tx>
          <c:spPr>
            <a:ln w="25400">
              <a:solidFill>
                <a:schemeClr val="tx1"/>
              </a:solidFill>
            </a:ln>
          </c:spPr>
          <c:marker>
            <c:symbol val="none"/>
          </c:marker>
          <c:xVal>
            <c:numRef>
              <c:f>DATA!$AB$5:$AB$194</c:f>
              <c:numCache>
                <c:formatCode>m/d/yyyy</c:formatCode>
                <c:ptCount val="190"/>
                <c:pt idx="0">
                  <c:v>39810.0</c:v>
                </c:pt>
                <c:pt idx="1">
                  <c:v>39811.0</c:v>
                </c:pt>
                <c:pt idx="2">
                  <c:v>39812.0</c:v>
                </c:pt>
                <c:pt idx="3">
                  <c:v>39813.0</c:v>
                </c:pt>
                <c:pt idx="4">
                  <c:v>39814.0</c:v>
                </c:pt>
                <c:pt idx="5">
                  <c:v>39815.0</c:v>
                </c:pt>
                <c:pt idx="6">
                  <c:v>39816.0</c:v>
                </c:pt>
                <c:pt idx="7">
                  <c:v>39817.0</c:v>
                </c:pt>
                <c:pt idx="8">
                  <c:v>39818.0</c:v>
                </c:pt>
                <c:pt idx="9">
                  <c:v>39819.0</c:v>
                </c:pt>
                <c:pt idx="10">
                  <c:v>39820.0</c:v>
                </c:pt>
                <c:pt idx="11">
                  <c:v>39821.0</c:v>
                </c:pt>
                <c:pt idx="12">
                  <c:v>39822.0</c:v>
                </c:pt>
                <c:pt idx="13">
                  <c:v>39823.0</c:v>
                </c:pt>
                <c:pt idx="14">
                  <c:v>39824.0</c:v>
                </c:pt>
                <c:pt idx="15">
                  <c:v>39825.0</c:v>
                </c:pt>
                <c:pt idx="16">
                  <c:v>39826.0</c:v>
                </c:pt>
                <c:pt idx="17">
                  <c:v>39827.0</c:v>
                </c:pt>
                <c:pt idx="18">
                  <c:v>39828.0</c:v>
                </c:pt>
                <c:pt idx="19">
                  <c:v>39829.0</c:v>
                </c:pt>
                <c:pt idx="20">
                  <c:v>39830.0</c:v>
                </c:pt>
                <c:pt idx="21">
                  <c:v>39831.0</c:v>
                </c:pt>
                <c:pt idx="22">
                  <c:v>39832.0</c:v>
                </c:pt>
                <c:pt idx="23">
                  <c:v>39833.0</c:v>
                </c:pt>
                <c:pt idx="24">
                  <c:v>39834.0</c:v>
                </c:pt>
                <c:pt idx="25">
                  <c:v>39835.0</c:v>
                </c:pt>
                <c:pt idx="26">
                  <c:v>39836.0</c:v>
                </c:pt>
                <c:pt idx="27">
                  <c:v>39837.0</c:v>
                </c:pt>
                <c:pt idx="28">
                  <c:v>39838.0</c:v>
                </c:pt>
                <c:pt idx="29">
                  <c:v>39839.0</c:v>
                </c:pt>
                <c:pt idx="30">
                  <c:v>39840.0</c:v>
                </c:pt>
                <c:pt idx="31">
                  <c:v>39841.0</c:v>
                </c:pt>
                <c:pt idx="32">
                  <c:v>39842.0</c:v>
                </c:pt>
                <c:pt idx="33">
                  <c:v>39843.0</c:v>
                </c:pt>
                <c:pt idx="34">
                  <c:v>39844.0</c:v>
                </c:pt>
                <c:pt idx="35">
                  <c:v>39845.0</c:v>
                </c:pt>
                <c:pt idx="36">
                  <c:v>39846.0</c:v>
                </c:pt>
                <c:pt idx="37">
                  <c:v>39847.0</c:v>
                </c:pt>
                <c:pt idx="38">
                  <c:v>39848.0</c:v>
                </c:pt>
                <c:pt idx="39">
                  <c:v>39849.0</c:v>
                </c:pt>
                <c:pt idx="40">
                  <c:v>39850.0</c:v>
                </c:pt>
                <c:pt idx="41">
                  <c:v>39851.0</c:v>
                </c:pt>
                <c:pt idx="42">
                  <c:v>39852.0</c:v>
                </c:pt>
                <c:pt idx="43">
                  <c:v>39853.0</c:v>
                </c:pt>
                <c:pt idx="44">
                  <c:v>39854.0</c:v>
                </c:pt>
                <c:pt idx="45">
                  <c:v>39855.0</c:v>
                </c:pt>
                <c:pt idx="46">
                  <c:v>39856.0</c:v>
                </c:pt>
                <c:pt idx="47">
                  <c:v>39857.0</c:v>
                </c:pt>
                <c:pt idx="48">
                  <c:v>39858.0</c:v>
                </c:pt>
                <c:pt idx="49">
                  <c:v>39859.0</c:v>
                </c:pt>
                <c:pt idx="50">
                  <c:v>39860.0</c:v>
                </c:pt>
                <c:pt idx="51">
                  <c:v>39861.0</c:v>
                </c:pt>
                <c:pt idx="52">
                  <c:v>39862.0</c:v>
                </c:pt>
                <c:pt idx="53">
                  <c:v>39863.0</c:v>
                </c:pt>
                <c:pt idx="54">
                  <c:v>39864.0</c:v>
                </c:pt>
                <c:pt idx="55">
                  <c:v>39865.0</c:v>
                </c:pt>
                <c:pt idx="56">
                  <c:v>39866.0</c:v>
                </c:pt>
                <c:pt idx="57">
                  <c:v>39867.0</c:v>
                </c:pt>
                <c:pt idx="58">
                  <c:v>39868.0</c:v>
                </c:pt>
                <c:pt idx="59">
                  <c:v>39869.0</c:v>
                </c:pt>
                <c:pt idx="60">
                  <c:v>39870.0</c:v>
                </c:pt>
                <c:pt idx="61">
                  <c:v>39871.0</c:v>
                </c:pt>
                <c:pt idx="62">
                  <c:v>39872.0</c:v>
                </c:pt>
                <c:pt idx="63">
                  <c:v>39873.0</c:v>
                </c:pt>
                <c:pt idx="64">
                  <c:v>39874.0</c:v>
                </c:pt>
                <c:pt idx="65">
                  <c:v>39875.0</c:v>
                </c:pt>
                <c:pt idx="66">
                  <c:v>39876.0</c:v>
                </c:pt>
                <c:pt idx="67">
                  <c:v>39877.0</c:v>
                </c:pt>
                <c:pt idx="68">
                  <c:v>39878.0</c:v>
                </c:pt>
                <c:pt idx="69">
                  <c:v>39879.0</c:v>
                </c:pt>
                <c:pt idx="70">
                  <c:v>39880.0</c:v>
                </c:pt>
                <c:pt idx="71">
                  <c:v>39881.0</c:v>
                </c:pt>
                <c:pt idx="72">
                  <c:v>39882.0</c:v>
                </c:pt>
                <c:pt idx="73">
                  <c:v>39883.0</c:v>
                </c:pt>
                <c:pt idx="74">
                  <c:v>39884.0</c:v>
                </c:pt>
                <c:pt idx="75">
                  <c:v>39885.0</c:v>
                </c:pt>
                <c:pt idx="76">
                  <c:v>39886.0</c:v>
                </c:pt>
                <c:pt idx="77">
                  <c:v>39887.0</c:v>
                </c:pt>
                <c:pt idx="78">
                  <c:v>39888.0</c:v>
                </c:pt>
                <c:pt idx="79">
                  <c:v>39889.0</c:v>
                </c:pt>
                <c:pt idx="80">
                  <c:v>39890.0</c:v>
                </c:pt>
                <c:pt idx="81">
                  <c:v>39891.0</c:v>
                </c:pt>
                <c:pt idx="82">
                  <c:v>39892.0</c:v>
                </c:pt>
                <c:pt idx="83">
                  <c:v>39893.0</c:v>
                </c:pt>
                <c:pt idx="84">
                  <c:v>39894.0</c:v>
                </c:pt>
                <c:pt idx="85">
                  <c:v>39895.0</c:v>
                </c:pt>
                <c:pt idx="86">
                  <c:v>39896.0</c:v>
                </c:pt>
                <c:pt idx="87">
                  <c:v>39897.0</c:v>
                </c:pt>
                <c:pt idx="88">
                  <c:v>39898.0</c:v>
                </c:pt>
                <c:pt idx="89">
                  <c:v>39899.0</c:v>
                </c:pt>
                <c:pt idx="90">
                  <c:v>39900.0</c:v>
                </c:pt>
                <c:pt idx="91">
                  <c:v>39901.0</c:v>
                </c:pt>
                <c:pt idx="92">
                  <c:v>39902.0</c:v>
                </c:pt>
                <c:pt idx="93">
                  <c:v>39903.0</c:v>
                </c:pt>
                <c:pt idx="94">
                  <c:v>39904.0</c:v>
                </c:pt>
                <c:pt idx="95">
                  <c:v>39905.0</c:v>
                </c:pt>
                <c:pt idx="96">
                  <c:v>39906.0</c:v>
                </c:pt>
                <c:pt idx="97">
                  <c:v>39907.0</c:v>
                </c:pt>
                <c:pt idx="98">
                  <c:v>39908.0</c:v>
                </c:pt>
                <c:pt idx="99">
                  <c:v>39909.0</c:v>
                </c:pt>
                <c:pt idx="100">
                  <c:v>39910.0</c:v>
                </c:pt>
                <c:pt idx="101">
                  <c:v>39911.0</c:v>
                </c:pt>
                <c:pt idx="102">
                  <c:v>39912.0</c:v>
                </c:pt>
                <c:pt idx="103">
                  <c:v>39913.0</c:v>
                </c:pt>
                <c:pt idx="104">
                  <c:v>39914.0</c:v>
                </c:pt>
                <c:pt idx="105">
                  <c:v>39915.0</c:v>
                </c:pt>
                <c:pt idx="106">
                  <c:v>39916.0</c:v>
                </c:pt>
                <c:pt idx="107">
                  <c:v>39917.0</c:v>
                </c:pt>
                <c:pt idx="108">
                  <c:v>39918.0</c:v>
                </c:pt>
                <c:pt idx="109">
                  <c:v>39919.0</c:v>
                </c:pt>
                <c:pt idx="110">
                  <c:v>39920.0</c:v>
                </c:pt>
                <c:pt idx="111">
                  <c:v>39921.0</c:v>
                </c:pt>
                <c:pt idx="112">
                  <c:v>39922.0</c:v>
                </c:pt>
                <c:pt idx="113">
                  <c:v>39923.0</c:v>
                </c:pt>
                <c:pt idx="114">
                  <c:v>39924.0</c:v>
                </c:pt>
                <c:pt idx="115">
                  <c:v>39925.0</c:v>
                </c:pt>
                <c:pt idx="116">
                  <c:v>39926.0</c:v>
                </c:pt>
                <c:pt idx="117">
                  <c:v>39927.0</c:v>
                </c:pt>
                <c:pt idx="118">
                  <c:v>39928.0</c:v>
                </c:pt>
                <c:pt idx="119">
                  <c:v>39929.0</c:v>
                </c:pt>
                <c:pt idx="120">
                  <c:v>39930.0</c:v>
                </c:pt>
                <c:pt idx="121">
                  <c:v>39931.0</c:v>
                </c:pt>
                <c:pt idx="122">
                  <c:v>39932.0</c:v>
                </c:pt>
                <c:pt idx="123">
                  <c:v>39933.0</c:v>
                </c:pt>
                <c:pt idx="124">
                  <c:v>39934.0</c:v>
                </c:pt>
                <c:pt idx="125">
                  <c:v>39935.0</c:v>
                </c:pt>
                <c:pt idx="126">
                  <c:v>39936.0</c:v>
                </c:pt>
                <c:pt idx="127">
                  <c:v>39937.0</c:v>
                </c:pt>
                <c:pt idx="128">
                  <c:v>39938.0</c:v>
                </c:pt>
                <c:pt idx="129">
                  <c:v>39939.0</c:v>
                </c:pt>
                <c:pt idx="130">
                  <c:v>39940.0</c:v>
                </c:pt>
                <c:pt idx="131">
                  <c:v>39941.0</c:v>
                </c:pt>
                <c:pt idx="132">
                  <c:v>39942.0</c:v>
                </c:pt>
                <c:pt idx="133">
                  <c:v>39943.0</c:v>
                </c:pt>
                <c:pt idx="134">
                  <c:v>39944.0</c:v>
                </c:pt>
                <c:pt idx="135">
                  <c:v>39945.0</c:v>
                </c:pt>
                <c:pt idx="136">
                  <c:v>39946.0</c:v>
                </c:pt>
                <c:pt idx="137">
                  <c:v>39947.0</c:v>
                </c:pt>
                <c:pt idx="138">
                  <c:v>39948.0</c:v>
                </c:pt>
                <c:pt idx="139">
                  <c:v>39949.0</c:v>
                </c:pt>
                <c:pt idx="140">
                  <c:v>39950.0</c:v>
                </c:pt>
                <c:pt idx="141">
                  <c:v>39951.0</c:v>
                </c:pt>
                <c:pt idx="142">
                  <c:v>39952.0</c:v>
                </c:pt>
                <c:pt idx="143">
                  <c:v>39953.0</c:v>
                </c:pt>
                <c:pt idx="144">
                  <c:v>39954.0</c:v>
                </c:pt>
                <c:pt idx="145">
                  <c:v>39955.0</c:v>
                </c:pt>
                <c:pt idx="146">
                  <c:v>39956.0</c:v>
                </c:pt>
                <c:pt idx="147">
                  <c:v>39957.0</c:v>
                </c:pt>
                <c:pt idx="148">
                  <c:v>39958.0</c:v>
                </c:pt>
                <c:pt idx="149">
                  <c:v>39959.0</c:v>
                </c:pt>
                <c:pt idx="150">
                  <c:v>39960.0</c:v>
                </c:pt>
                <c:pt idx="151">
                  <c:v>39961.0</c:v>
                </c:pt>
                <c:pt idx="152">
                  <c:v>39962.0</c:v>
                </c:pt>
                <c:pt idx="153">
                  <c:v>39963.0</c:v>
                </c:pt>
                <c:pt idx="154">
                  <c:v>39964.0</c:v>
                </c:pt>
                <c:pt idx="155">
                  <c:v>39965.0</c:v>
                </c:pt>
                <c:pt idx="156">
                  <c:v>39966.0</c:v>
                </c:pt>
                <c:pt idx="157">
                  <c:v>39967.0</c:v>
                </c:pt>
                <c:pt idx="158">
                  <c:v>39968.0</c:v>
                </c:pt>
                <c:pt idx="159">
                  <c:v>39969.0</c:v>
                </c:pt>
                <c:pt idx="160">
                  <c:v>39970.0</c:v>
                </c:pt>
                <c:pt idx="161">
                  <c:v>39971.0</c:v>
                </c:pt>
                <c:pt idx="162">
                  <c:v>39972.0</c:v>
                </c:pt>
                <c:pt idx="163">
                  <c:v>39973.0</c:v>
                </c:pt>
                <c:pt idx="164">
                  <c:v>39974.0</c:v>
                </c:pt>
                <c:pt idx="165">
                  <c:v>39975.0</c:v>
                </c:pt>
                <c:pt idx="166">
                  <c:v>39976.0</c:v>
                </c:pt>
                <c:pt idx="167">
                  <c:v>39977.0</c:v>
                </c:pt>
                <c:pt idx="168">
                  <c:v>39978.0</c:v>
                </c:pt>
                <c:pt idx="169">
                  <c:v>39979.0</c:v>
                </c:pt>
                <c:pt idx="170">
                  <c:v>39980.0</c:v>
                </c:pt>
                <c:pt idx="171">
                  <c:v>39981.0</c:v>
                </c:pt>
                <c:pt idx="172">
                  <c:v>39982.0</c:v>
                </c:pt>
                <c:pt idx="173">
                  <c:v>39983.0</c:v>
                </c:pt>
                <c:pt idx="174">
                  <c:v>39984.0</c:v>
                </c:pt>
                <c:pt idx="175">
                  <c:v>39985.0</c:v>
                </c:pt>
                <c:pt idx="176">
                  <c:v>39986.0</c:v>
                </c:pt>
                <c:pt idx="177">
                  <c:v>39987.0</c:v>
                </c:pt>
                <c:pt idx="178">
                  <c:v>39988.0</c:v>
                </c:pt>
                <c:pt idx="179">
                  <c:v>39989.0</c:v>
                </c:pt>
                <c:pt idx="180">
                  <c:v>39990.0</c:v>
                </c:pt>
                <c:pt idx="181">
                  <c:v>39991.0</c:v>
                </c:pt>
                <c:pt idx="182">
                  <c:v>39992.0</c:v>
                </c:pt>
                <c:pt idx="183">
                  <c:v>39993.0</c:v>
                </c:pt>
                <c:pt idx="184">
                  <c:v>39994.0</c:v>
                </c:pt>
                <c:pt idx="185">
                  <c:v>39995.0</c:v>
                </c:pt>
                <c:pt idx="186">
                  <c:v>39996.0</c:v>
                </c:pt>
                <c:pt idx="187">
                  <c:v>39997.0</c:v>
                </c:pt>
                <c:pt idx="188">
                  <c:v>39998.0</c:v>
                </c:pt>
                <c:pt idx="189">
                  <c:v>39999.0</c:v>
                </c:pt>
              </c:numCache>
            </c:numRef>
          </c:xVal>
          <c:yVal>
            <c:numRef>
              <c:f>DATA!$AD$5:$AD$194</c:f>
              <c:numCache>
                <c:formatCode>General</c:formatCode>
                <c:ptCount val="190"/>
                <c:pt idx="29" formatCode="0.00">
                  <c:v>1.0</c:v>
                </c:pt>
                <c:pt idx="30" formatCode="0.00">
                  <c:v>1.0</c:v>
                </c:pt>
                <c:pt idx="31" formatCode="0.00">
                  <c:v>1.0</c:v>
                </c:pt>
                <c:pt idx="32" formatCode="0.00">
                  <c:v>1.0</c:v>
                </c:pt>
                <c:pt idx="33" formatCode="0.00">
                  <c:v>1.0</c:v>
                </c:pt>
                <c:pt idx="34" formatCode="0.00">
                  <c:v>1.0</c:v>
                </c:pt>
                <c:pt idx="35" formatCode="0.00">
                  <c:v>1.0</c:v>
                </c:pt>
                <c:pt idx="36" formatCode="0.00">
                  <c:v>1.0</c:v>
                </c:pt>
                <c:pt idx="37" formatCode="0.00">
                  <c:v>1.0</c:v>
                </c:pt>
                <c:pt idx="38" formatCode="0.00">
                  <c:v>1.0</c:v>
                </c:pt>
                <c:pt idx="39" formatCode="0.00">
                  <c:v>1.0</c:v>
                </c:pt>
                <c:pt idx="40" formatCode="0.00">
                  <c:v>1.0</c:v>
                </c:pt>
                <c:pt idx="41" formatCode="0.00">
                  <c:v>1.0</c:v>
                </c:pt>
                <c:pt idx="42" formatCode="0.00">
                  <c:v>1.0</c:v>
                </c:pt>
                <c:pt idx="43" formatCode="0.00">
                  <c:v>1.0</c:v>
                </c:pt>
                <c:pt idx="44" formatCode="0.00">
                  <c:v>1.0</c:v>
                </c:pt>
                <c:pt idx="45" formatCode="0.00">
                  <c:v>1.0</c:v>
                </c:pt>
                <c:pt idx="46" formatCode="0.00">
                  <c:v>1.0</c:v>
                </c:pt>
                <c:pt idx="47" formatCode="0.00">
                  <c:v>1.0</c:v>
                </c:pt>
                <c:pt idx="48" formatCode="0.00">
                  <c:v>1.0</c:v>
                </c:pt>
                <c:pt idx="49" formatCode="0.00">
                  <c:v>1.0</c:v>
                </c:pt>
                <c:pt idx="50" formatCode="0.00">
                  <c:v>1.0</c:v>
                </c:pt>
                <c:pt idx="51" formatCode="0.00">
                  <c:v>1.0</c:v>
                </c:pt>
                <c:pt idx="52" formatCode="0.00">
                  <c:v>1.0</c:v>
                </c:pt>
                <c:pt idx="53" formatCode="0.00">
                  <c:v>1.0</c:v>
                </c:pt>
                <c:pt idx="54" formatCode="0.00">
                  <c:v>1.0</c:v>
                </c:pt>
                <c:pt idx="55" formatCode="0.00">
                  <c:v>1.0</c:v>
                </c:pt>
                <c:pt idx="56" formatCode="0.00">
                  <c:v>1.0</c:v>
                </c:pt>
                <c:pt idx="57" formatCode="0.00">
                  <c:v>1.0</c:v>
                </c:pt>
                <c:pt idx="58" formatCode="0.00">
                  <c:v>1.0</c:v>
                </c:pt>
                <c:pt idx="59" formatCode="0.00">
                  <c:v>1.0</c:v>
                </c:pt>
                <c:pt idx="60" formatCode="0.00">
                  <c:v>1.0</c:v>
                </c:pt>
                <c:pt idx="61" formatCode="0.00">
                  <c:v>1.0</c:v>
                </c:pt>
                <c:pt idx="62" formatCode="0.00">
                  <c:v>1.01451724137931</c:v>
                </c:pt>
                <c:pt idx="63" formatCode="0.00">
                  <c:v>1.01451724137931</c:v>
                </c:pt>
                <c:pt idx="64" formatCode="0.00">
                  <c:v>1.01451724137931</c:v>
                </c:pt>
                <c:pt idx="65" formatCode="0.00">
                  <c:v>1.01451724137931</c:v>
                </c:pt>
                <c:pt idx="66" formatCode="0.00">
                  <c:v>1.01451724137931</c:v>
                </c:pt>
                <c:pt idx="67" formatCode="0.00">
                  <c:v>1.01451724137931</c:v>
                </c:pt>
                <c:pt idx="68" formatCode="0.00">
                  <c:v>1.01451724137931</c:v>
                </c:pt>
                <c:pt idx="69" formatCode="0.00">
                  <c:v>1.01451724137931</c:v>
                </c:pt>
                <c:pt idx="70" formatCode="0.00">
                  <c:v>1.01451724137931</c:v>
                </c:pt>
                <c:pt idx="71" formatCode="0.00">
                  <c:v>1.041275862068965</c:v>
                </c:pt>
                <c:pt idx="72" formatCode="0.00">
                  <c:v>1.043551724137931</c:v>
                </c:pt>
                <c:pt idx="73" formatCode="0.00">
                  <c:v>1.043551724137931</c:v>
                </c:pt>
                <c:pt idx="74" formatCode="0.00">
                  <c:v>1.043551724137931</c:v>
                </c:pt>
                <c:pt idx="75" formatCode="0.00">
                  <c:v>1.043551724137931</c:v>
                </c:pt>
                <c:pt idx="76" formatCode="0.00">
                  <c:v>1.043551724137931</c:v>
                </c:pt>
                <c:pt idx="77" formatCode="0.00">
                  <c:v>1.043551724137931</c:v>
                </c:pt>
                <c:pt idx="78" formatCode="0.00">
                  <c:v>1.043551724137931</c:v>
                </c:pt>
                <c:pt idx="79" formatCode="0.00">
                  <c:v>1.058068965517242</c:v>
                </c:pt>
                <c:pt idx="80" formatCode="0.00">
                  <c:v>1.097103448275862</c:v>
                </c:pt>
                <c:pt idx="81" formatCode="0.00">
                  <c:v>1.097103448275862</c:v>
                </c:pt>
                <c:pt idx="82" formatCode="0.00">
                  <c:v>1.097103448275862</c:v>
                </c:pt>
                <c:pt idx="83" formatCode="0.00">
                  <c:v>1.097103448275862</c:v>
                </c:pt>
                <c:pt idx="84" formatCode="0.00">
                  <c:v>1.097103448275862</c:v>
                </c:pt>
                <c:pt idx="85" formatCode="0.00">
                  <c:v>1.097103448275862</c:v>
                </c:pt>
                <c:pt idx="86" formatCode="0.00">
                  <c:v>1.123862068965518</c:v>
                </c:pt>
                <c:pt idx="87" formatCode="0.00">
                  <c:v>1.138379310344827</c:v>
                </c:pt>
                <c:pt idx="88" formatCode="0.00">
                  <c:v>1.138379310344827</c:v>
                </c:pt>
                <c:pt idx="89" formatCode="0.00">
                  <c:v>1.138379310344827</c:v>
                </c:pt>
                <c:pt idx="90" formatCode="0.00">
                  <c:v>1.138379310344827</c:v>
                </c:pt>
                <c:pt idx="91" formatCode="0.00">
                  <c:v>1.126137931034484</c:v>
                </c:pt>
                <c:pt idx="92" formatCode="0.00">
                  <c:v>1.140655172413795</c:v>
                </c:pt>
                <c:pt idx="93" formatCode="0.00">
                  <c:v>1.140655172413795</c:v>
                </c:pt>
                <c:pt idx="94" formatCode="0.00">
                  <c:v>1.142931034482759</c:v>
                </c:pt>
                <c:pt idx="95" formatCode="0.00">
                  <c:v>1.145206896551724</c:v>
                </c:pt>
                <c:pt idx="96" formatCode="0.00">
                  <c:v>1.147482758620689</c:v>
                </c:pt>
                <c:pt idx="97" formatCode="0.00">
                  <c:v>1.149758620689655</c:v>
                </c:pt>
                <c:pt idx="98" formatCode="0.00">
                  <c:v>1.15203448275862</c:v>
                </c:pt>
                <c:pt idx="99" formatCode="0.00">
                  <c:v>1.15203448275862</c:v>
                </c:pt>
                <c:pt idx="100" formatCode="0.00">
                  <c:v>1.139793103448276</c:v>
                </c:pt>
                <c:pt idx="101" formatCode="0.00">
                  <c:v>1.15203448275862</c:v>
                </c:pt>
                <c:pt idx="102" formatCode="0.00">
                  <c:v>1.166551724137931</c:v>
                </c:pt>
                <c:pt idx="103" formatCode="0.00">
                  <c:v>1.168827586206897</c:v>
                </c:pt>
                <c:pt idx="104" formatCode="0.00">
                  <c:v>1.168827586206897</c:v>
                </c:pt>
                <c:pt idx="105" formatCode="0.00">
                  <c:v>1.168827586206897</c:v>
                </c:pt>
                <c:pt idx="106" formatCode="0.00">
                  <c:v>1.171103448275862</c:v>
                </c:pt>
                <c:pt idx="107" formatCode="0.00">
                  <c:v>1.173379310344828</c:v>
                </c:pt>
                <c:pt idx="108" formatCode="0.00">
                  <c:v>1.161137931034482</c:v>
                </c:pt>
                <c:pt idx="109" formatCode="0.00">
                  <c:v>1.124379310344827</c:v>
                </c:pt>
                <c:pt idx="110" formatCode="0.00">
                  <c:v>1.126655172413795</c:v>
                </c:pt>
                <c:pt idx="111" formatCode="0.00">
                  <c:v>1.126655172413794</c:v>
                </c:pt>
                <c:pt idx="112" formatCode="0.00">
                  <c:v>1.126655172413795</c:v>
                </c:pt>
                <c:pt idx="113" formatCode="0.00">
                  <c:v>1.128931034482759</c:v>
                </c:pt>
                <c:pt idx="114" formatCode="0.00">
                  <c:v>1.128931034482758</c:v>
                </c:pt>
                <c:pt idx="115" formatCode="0.00">
                  <c:v>1.102172413793104</c:v>
                </c:pt>
                <c:pt idx="116" formatCode="0.00">
                  <c:v>1.089931034482758</c:v>
                </c:pt>
                <c:pt idx="117" formatCode="0.00">
                  <c:v>1.089931034482758</c:v>
                </c:pt>
                <c:pt idx="118" formatCode="0.00">
                  <c:v>1.089931034482758</c:v>
                </c:pt>
                <c:pt idx="119" formatCode="0.00">
                  <c:v>1.092206896551725</c:v>
                </c:pt>
                <c:pt idx="120" formatCode="0.00">
                  <c:v>1.263689655172412</c:v>
                </c:pt>
                <c:pt idx="121" formatCode="0.00">
                  <c:v>1.481724137931033</c:v>
                </c:pt>
                <c:pt idx="122" formatCode="0.00">
                  <c:v>1.55748275862069</c:v>
                </c:pt>
                <c:pt idx="123" formatCode="0.00">
                  <c:v>1.55748275862069</c:v>
                </c:pt>
                <c:pt idx="124" formatCode="0.00">
                  <c:v>1.555206896551724</c:v>
                </c:pt>
                <c:pt idx="125" formatCode="0.00">
                  <c:v>1.552931034482759</c:v>
                </c:pt>
                <c:pt idx="126" formatCode="0.00">
                  <c:v>1.550655172413794</c:v>
                </c:pt>
                <c:pt idx="127" formatCode="0.00">
                  <c:v>1.548379310344828</c:v>
                </c:pt>
                <c:pt idx="128" formatCode="0.00">
                  <c:v>1.550655172413795</c:v>
                </c:pt>
                <c:pt idx="129" formatCode="0.00">
                  <c:v>1.550655172413795</c:v>
                </c:pt>
                <c:pt idx="130" formatCode="0.00">
                  <c:v>1.536137931034484</c:v>
                </c:pt>
                <c:pt idx="131" formatCode="0.00">
                  <c:v>1.521620689655171</c:v>
                </c:pt>
                <c:pt idx="132" formatCode="0.00">
                  <c:v>1.519344827586207</c:v>
                </c:pt>
                <c:pt idx="133" formatCode="0.00">
                  <c:v>1.519344827586207</c:v>
                </c:pt>
                <c:pt idx="134" formatCode="0.00">
                  <c:v>1.519344827586207</c:v>
                </c:pt>
                <c:pt idx="135" formatCode="0.00">
                  <c:v>1.517068965517242</c:v>
                </c:pt>
                <c:pt idx="136" formatCode="0.00">
                  <c:v>1.514793103448276</c:v>
                </c:pt>
                <c:pt idx="137" formatCode="0.00">
                  <c:v>1.51251724137931</c:v>
                </c:pt>
                <c:pt idx="138" formatCode="0.00">
                  <c:v>1.510241379310345</c:v>
                </c:pt>
                <c:pt idx="139" formatCode="0.00">
                  <c:v>1.507965517241378</c:v>
                </c:pt>
                <c:pt idx="140" formatCode="0.00">
                  <c:v>1.507965517241378</c:v>
                </c:pt>
                <c:pt idx="141" formatCode="0.00">
                  <c:v>1.507965517241378</c:v>
                </c:pt>
                <c:pt idx="142" formatCode="0.00">
                  <c:v>1.505689655172412</c:v>
                </c:pt>
                <c:pt idx="143" formatCode="0.00">
                  <c:v>1.505689655172412</c:v>
                </c:pt>
                <c:pt idx="144" formatCode="0.00">
                  <c:v>1.505689655172412</c:v>
                </c:pt>
                <c:pt idx="145" formatCode="0.00">
                  <c:v>1.503413793103447</c:v>
                </c:pt>
                <c:pt idx="146" formatCode="0.00">
                  <c:v>1.503413793103447</c:v>
                </c:pt>
                <c:pt idx="147" formatCode="0.00">
                  <c:v>1.503413793103447</c:v>
                </c:pt>
                <c:pt idx="148" formatCode="0.00">
                  <c:v>1.501137931034483</c:v>
                </c:pt>
                <c:pt idx="149" formatCode="0.00">
                  <c:v>1.327379310344827</c:v>
                </c:pt>
                <c:pt idx="150" formatCode="0.00">
                  <c:v>1.097103448275862</c:v>
                </c:pt>
                <c:pt idx="151" formatCode="0.00">
                  <c:v>1.035862068965517</c:v>
                </c:pt>
                <c:pt idx="152" formatCode="0.00">
                  <c:v>1.048103448275862</c:v>
                </c:pt>
                <c:pt idx="153" formatCode="0.00">
                  <c:v>1.048103448275862</c:v>
                </c:pt>
                <c:pt idx="154" formatCode="0.00">
                  <c:v>1.048103448275862</c:v>
                </c:pt>
                <c:pt idx="155" formatCode="0.00">
                  <c:v>1.048103448275862</c:v>
                </c:pt>
                <c:pt idx="156" formatCode="0.00">
                  <c:v>1.050379310344828</c:v>
                </c:pt>
                <c:pt idx="157" formatCode="0.00">
                  <c:v>1.062620689655172</c:v>
                </c:pt>
                <c:pt idx="158" formatCode="0.00">
                  <c:v>1.074862068965518</c:v>
                </c:pt>
                <c:pt idx="159" formatCode="0.00">
                  <c:v>1.077137931034483</c:v>
                </c:pt>
                <c:pt idx="160" formatCode="0.00">
                  <c:v>1.103896551724137</c:v>
                </c:pt>
                <c:pt idx="161" formatCode="0.00">
                  <c:v>1.130655172413795</c:v>
                </c:pt>
                <c:pt idx="162" formatCode="0.00">
                  <c:v>1.132931034482759</c:v>
                </c:pt>
                <c:pt idx="163" formatCode="0.00">
                  <c:v>1.132931034482758</c:v>
                </c:pt>
                <c:pt idx="164" formatCode="0.00">
                  <c:v>1.132931034482759</c:v>
                </c:pt>
                <c:pt idx="165" formatCode="0.00">
                  <c:v>1.132931034482759</c:v>
                </c:pt>
                <c:pt idx="166" formatCode="0.00">
                  <c:v>1.132931034482759</c:v>
                </c:pt>
                <c:pt idx="167" formatCode="0.00">
                  <c:v>1.132931034482759</c:v>
                </c:pt>
                <c:pt idx="168" formatCode="0.00">
                  <c:v>1.132931034482759</c:v>
                </c:pt>
                <c:pt idx="169" formatCode="0.00">
                  <c:v>1.132931034482759</c:v>
                </c:pt>
                <c:pt idx="170" formatCode="0.00">
                  <c:v>1.132931034482759</c:v>
                </c:pt>
                <c:pt idx="171" formatCode="0.00">
                  <c:v>1.132931034482759</c:v>
                </c:pt>
                <c:pt idx="172" formatCode="0.00">
                  <c:v>1.132931034482759</c:v>
                </c:pt>
                <c:pt idx="173" formatCode="0.00">
                  <c:v>1.132931034482759</c:v>
                </c:pt>
                <c:pt idx="174" formatCode="0.00">
                  <c:v>1.13293103448276</c:v>
                </c:pt>
                <c:pt idx="175" formatCode="0.00">
                  <c:v>1.13293103448276</c:v>
                </c:pt>
                <c:pt idx="176" formatCode="0.00">
                  <c:v>1.13293103448276</c:v>
                </c:pt>
                <c:pt idx="177" formatCode="0.00">
                  <c:v>1.13293103448276</c:v>
                </c:pt>
                <c:pt idx="178" formatCode="0.00">
                  <c:v>1.13293103448276</c:v>
                </c:pt>
                <c:pt idx="179" formatCode="0.00">
                  <c:v>1.130655172413795</c:v>
                </c:pt>
                <c:pt idx="180" formatCode="0.00">
                  <c:v>1.116137931034484</c:v>
                </c:pt>
                <c:pt idx="181" formatCode="0.00">
                  <c:v>1.101620689655171</c:v>
                </c:pt>
                <c:pt idx="182" formatCode="0.00">
                  <c:v>1.101620689655171</c:v>
                </c:pt>
                <c:pt idx="183" formatCode="0.00">
                  <c:v>1.101620689655171</c:v>
                </c:pt>
                <c:pt idx="184" formatCode="0.00">
                  <c:v>1.101620689655171</c:v>
                </c:pt>
                <c:pt idx="185" formatCode="0.00">
                  <c:v>1.099344827586208</c:v>
                </c:pt>
                <c:pt idx="186" formatCode="0.00">
                  <c:v>1.084827586206897</c:v>
                </c:pt>
                <c:pt idx="187" formatCode="0.00">
                  <c:v>1.058068965517242</c:v>
                </c:pt>
                <c:pt idx="188" formatCode="0.00">
                  <c:v>1.055793103448276</c:v>
                </c:pt>
                <c:pt idx="189" formatCode="0.00">
                  <c:v>1.02903448275862</c:v>
                </c:pt>
              </c:numCache>
            </c:numRef>
          </c:yVal>
          <c:smooth val="0"/>
        </c:ser>
        <c:dLbls>
          <c:showLegendKey val="0"/>
          <c:showVal val="0"/>
          <c:showCatName val="0"/>
          <c:showSerName val="0"/>
          <c:showPercent val="0"/>
          <c:showBubbleSize val="0"/>
        </c:dLbls>
        <c:axId val="580546856"/>
        <c:axId val="580549896"/>
      </c:scatterChart>
      <c:valAx>
        <c:axId val="580546856"/>
        <c:scaling>
          <c:orientation val="minMax"/>
        </c:scaling>
        <c:delete val="0"/>
        <c:axPos val="b"/>
        <c:numFmt formatCode="m/d/yyyy" sourceLinked="1"/>
        <c:majorTickMark val="out"/>
        <c:minorTickMark val="none"/>
        <c:tickLblPos val="nextTo"/>
        <c:crossAx val="580549896"/>
        <c:crosses val="autoZero"/>
        <c:crossBetween val="midCat"/>
      </c:valAx>
      <c:valAx>
        <c:axId val="580549896"/>
        <c:scaling>
          <c:orientation val="minMax"/>
        </c:scaling>
        <c:delete val="0"/>
        <c:axPos val="l"/>
        <c:majorGridlines/>
        <c:title>
          <c:tx>
            <c:rich>
              <a:bodyPr rot="-5400000" vert="horz"/>
              <a:lstStyle/>
              <a:p>
                <a:pPr>
                  <a:defRPr sz="1200" b="0"/>
                </a:pPr>
                <a:r>
                  <a:rPr lang="en-US" sz="1200" b="0"/>
                  <a:t>Total Ammonia (mg/L as N)</a:t>
                </a:r>
              </a:p>
            </c:rich>
          </c:tx>
          <c:layout/>
          <c:overlay val="0"/>
        </c:title>
        <c:numFmt formatCode="General" sourceLinked="1"/>
        <c:majorTickMark val="out"/>
        <c:minorTickMark val="none"/>
        <c:tickLblPos val="nextTo"/>
        <c:crossAx val="580546856"/>
        <c:crosses val="autoZero"/>
        <c:crossBetween val="midCat"/>
      </c:valAx>
    </c:plotArea>
    <c:legend>
      <c:legendPos val="r"/>
      <c:layout>
        <c:manualLayout>
          <c:xMode val="edge"/>
          <c:yMode val="edge"/>
          <c:x val="0.626180446194226"/>
          <c:y val="0.152393919510061"/>
          <c:w val="0.321041776027997"/>
          <c:h val="0.1674343832021"/>
        </c:manualLayout>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b="0"/>
              <a:t>Effluent ammonia and nitrate nitrogen</a:t>
            </a:r>
          </a:p>
        </c:rich>
      </c:tx>
      <c:layout/>
      <c:overlay val="0"/>
    </c:title>
    <c:autoTitleDeleted val="0"/>
    <c:plotArea>
      <c:layout>
        <c:manualLayout>
          <c:layoutTarget val="inner"/>
          <c:xMode val="edge"/>
          <c:yMode val="edge"/>
          <c:x val="0.0900478124947757"/>
          <c:y val="0.13075780089153"/>
          <c:w val="0.843135563468579"/>
          <c:h val="0.783583671654713"/>
        </c:manualLayout>
      </c:layout>
      <c:lineChart>
        <c:grouping val="standard"/>
        <c:varyColors val="0"/>
        <c:ser>
          <c:idx val="0"/>
          <c:order val="0"/>
          <c:tx>
            <c:strRef>
              <c:f>DATA!$AB$3</c:f>
              <c:strCache>
                <c:ptCount val="1"/>
                <c:pt idx="0">
                  <c:v>EffNH3N   mg/L</c:v>
                </c:pt>
              </c:strCache>
            </c:strRef>
          </c:tx>
          <c:val>
            <c:numRef>
              <c:f>DATA!$AB$5:$AB$194</c:f>
              <c:numCache>
                <c:formatCode>General</c:formatCode>
                <c:ptCount val="190"/>
                <c:pt idx="0">
                  <c:v>1.0</c:v>
                </c:pt>
                <c:pt idx="1">
                  <c:v>1.0</c:v>
                </c:pt>
                <c:pt idx="2">
                  <c:v>1.0</c:v>
                </c:pt>
                <c:pt idx="3">
                  <c:v>1.0</c:v>
                </c:pt>
                <c:pt idx="4">
                  <c:v>1.0</c:v>
                </c:pt>
                <c:pt idx="5">
                  <c:v>1.0</c:v>
                </c:pt>
                <c:pt idx="6">
                  <c:v>1.0</c:v>
                </c:pt>
                <c:pt idx="7">
                  <c:v>1.0</c:v>
                </c:pt>
                <c:pt idx="8">
                  <c:v>1.0</c:v>
                </c:pt>
                <c:pt idx="9">
                  <c:v>1.0</c:v>
                </c:pt>
                <c:pt idx="10">
                  <c:v>1.0</c:v>
                </c:pt>
                <c:pt idx="11">
                  <c:v>1.0</c:v>
                </c:pt>
                <c:pt idx="12">
                  <c:v>1.0</c:v>
                </c:pt>
                <c:pt idx="13">
                  <c:v>1.0</c:v>
                </c:pt>
                <c:pt idx="14">
                  <c:v>1.0</c:v>
                </c:pt>
                <c:pt idx="15">
                  <c:v>1.0</c:v>
                </c:pt>
                <c:pt idx="16">
                  <c:v>1.0</c:v>
                </c:pt>
                <c:pt idx="17">
                  <c:v>1.0</c:v>
                </c:pt>
                <c:pt idx="18">
                  <c:v>1.0</c:v>
                </c:pt>
                <c:pt idx="19">
                  <c:v>1.0</c:v>
                </c:pt>
                <c:pt idx="20">
                  <c:v>1.0</c:v>
                </c:pt>
                <c:pt idx="21">
                  <c:v>1.0</c:v>
                </c:pt>
                <c:pt idx="22">
                  <c:v>1.0</c:v>
                </c:pt>
                <c:pt idx="23">
                  <c:v>1.0</c:v>
                </c:pt>
                <c:pt idx="24">
                  <c:v>1.0</c:v>
                </c:pt>
                <c:pt idx="25">
                  <c:v>1.0</c:v>
                </c:pt>
                <c:pt idx="26">
                  <c:v>1.0</c:v>
                </c:pt>
                <c:pt idx="27">
                  <c:v>1.0</c:v>
                </c:pt>
                <c:pt idx="28">
                  <c:v>1.0</c:v>
                </c:pt>
                <c:pt idx="29">
                  <c:v>1.0</c:v>
                </c:pt>
                <c:pt idx="30">
                  <c:v>1.0</c:v>
                </c:pt>
                <c:pt idx="31">
                  <c:v>1.0</c:v>
                </c:pt>
                <c:pt idx="32">
                  <c:v>1.0</c:v>
                </c:pt>
                <c:pt idx="33">
                  <c:v>1.0</c:v>
                </c:pt>
                <c:pt idx="34">
                  <c:v>1.0</c:v>
                </c:pt>
                <c:pt idx="35">
                  <c:v>1.0</c:v>
                </c:pt>
                <c:pt idx="36">
                  <c:v>1.0</c:v>
                </c:pt>
                <c:pt idx="37">
                  <c:v>1.0</c:v>
                </c:pt>
                <c:pt idx="38">
                  <c:v>1.0</c:v>
                </c:pt>
                <c:pt idx="39">
                  <c:v>1.0</c:v>
                </c:pt>
                <c:pt idx="40">
                  <c:v>1.0</c:v>
                </c:pt>
                <c:pt idx="41">
                  <c:v>1.0</c:v>
                </c:pt>
                <c:pt idx="42">
                  <c:v>1.0</c:v>
                </c:pt>
                <c:pt idx="43">
                  <c:v>1.0</c:v>
                </c:pt>
                <c:pt idx="44">
                  <c:v>1.0</c:v>
                </c:pt>
                <c:pt idx="45">
                  <c:v>1.0</c:v>
                </c:pt>
                <c:pt idx="46">
                  <c:v>1.0</c:v>
                </c:pt>
                <c:pt idx="47">
                  <c:v>1.0</c:v>
                </c:pt>
                <c:pt idx="48">
                  <c:v>1.0</c:v>
                </c:pt>
                <c:pt idx="49">
                  <c:v>1.0</c:v>
                </c:pt>
                <c:pt idx="50">
                  <c:v>1.0</c:v>
                </c:pt>
                <c:pt idx="51">
                  <c:v>1.0</c:v>
                </c:pt>
                <c:pt idx="52">
                  <c:v>1.0</c:v>
                </c:pt>
                <c:pt idx="53">
                  <c:v>1.0</c:v>
                </c:pt>
                <c:pt idx="54">
                  <c:v>1.0</c:v>
                </c:pt>
                <c:pt idx="55">
                  <c:v>1.0</c:v>
                </c:pt>
                <c:pt idx="56">
                  <c:v>1.0</c:v>
                </c:pt>
                <c:pt idx="57">
                  <c:v>1.0</c:v>
                </c:pt>
                <c:pt idx="58">
                  <c:v>1.0</c:v>
                </c:pt>
                <c:pt idx="59">
                  <c:v>1.0</c:v>
                </c:pt>
                <c:pt idx="60">
                  <c:v>1.0</c:v>
                </c:pt>
                <c:pt idx="61">
                  <c:v>1.421</c:v>
                </c:pt>
                <c:pt idx="62">
                  <c:v>1.0</c:v>
                </c:pt>
                <c:pt idx="63">
                  <c:v>1.0</c:v>
                </c:pt>
                <c:pt idx="64">
                  <c:v>1.0</c:v>
                </c:pt>
                <c:pt idx="65">
                  <c:v>1.0</c:v>
                </c:pt>
                <c:pt idx="66">
                  <c:v>1.0</c:v>
                </c:pt>
                <c:pt idx="67">
                  <c:v>1.0</c:v>
                </c:pt>
                <c:pt idx="68">
                  <c:v>1.0</c:v>
                </c:pt>
                <c:pt idx="69">
                  <c:v>1.0</c:v>
                </c:pt>
                <c:pt idx="70">
                  <c:v>1.776</c:v>
                </c:pt>
                <c:pt idx="71">
                  <c:v>1.066</c:v>
                </c:pt>
                <c:pt idx="72">
                  <c:v>1.0</c:v>
                </c:pt>
                <c:pt idx="73">
                  <c:v>1.0</c:v>
                </c:pt>
                <c:pt idx="74">
                  <c:v>1.0</c:v>
                </c:pt>
                <c:pt idx="75">
                  <c:v>1.0</c:v>
                </c:pt>
                <c:pt idx="76">
                  <c:v>1.0</c:v>
                </c:pt>
                <c:pt idx="77">
                  <c:v>1.0</c:v>
                </c:pt>
                <c:pt idx="78">
                  <c:v>1.421</c:v>
                </c:pt>
                <c:pt idx="79">
                  <c:v>2.132</c:v>
                </c:pt>
                <c:pt idx="80">
                  <c:v>1.0</c:v>
                </c:pt>
                <c:pt idx="81">
                  <c:v>1.0</c:v>
                </c:pt>
                <c:pt idx="82">
                  <c:v>1.0</c:v>
                </c:pt>
                <c:pt idx="83">
                  <c:v>1.0</c:v>
                </c:pt>
                <c:pt idx="84">
                  <c:v>1.0</c:v>
                </c:pt>
                <c:pt idx="85">
                  <c:v>1.776</c:v>
                </c:pt>
                <c:pt idx="86">
                  <c:v>1.421</c:v>
                </c:pt>
                <c:pt idx="87">
                  <c:v>1.0</c:v>
                </c:pt>
                <c:pt idx="88">
                  <c:v>1.0</c:v>
                </c:pt>
                <c:pt idx="89">
                  <c:v>1.0</c:v>
                </c:pt>
                <c:pt idx="90">
                  <c:v>1.066</c:v>
                </c:pt>
                <c:pt idx="91">
                  <c:v>1.421</c:v>
                </c:pt>
                <c:pt idx="92">
                  <c:v>1.0</c:v>
                </c:pt>
                <c:pt idx="93">
                  <c:v>1.066</c:v>
                </c:pt>
                <c:pt idx="94">
                  <c:v>1.066</c:v>
                </c:pt>
                <c:pt idx="95">
                  <c:v>1.066</c:v>
                </c:pt>
                <c:pt idx="96">
                  <c:v>1.066</c:v>
                </c:pt>
                <c:pt idx="97">
                  <c:v>1.066</c:v>
                </c:pt>
                <c:pt idx="98">
                  <c:v>1.0</c:v>
                </c:pt>
                <c:pt idx="99">
                  <c:v>1.421</c:v>
                </c:pt>
                <c:pt idx="100">
                  <c:v>1.421</c:v>
                </c:pt>
                <c:pt idx="101">
                  <c:v>1.421</c:v>
                </c:pt>
                <c:pt idx="102">
                  <c:v>1.066</c:v>
                </c:pt>
                <c:pt idx="103">
                  <c:v>1.0</c:v>
                </c:pt>
                <c:pt idx="104">
                  <c:v>1.0</c:v>
                </c:pt>
                <c:pt idx="105">
                  <c:v>1.066</c:v>
                </c:pt>
                <c:pt idx="106">
                  <c:v>1.066</c:v>
                </c:pt>
                <c:pt idx="107">
                  <c:v>1.066</c:v>
                </c:pt>
                <c:pt idx="108">
                  <c:v>1.066</c:v>
                </c:pt>
                <c:pt idx="109">
                  <c:v>1.066</c:v>
                </c:pt>
                <c:pt idx="110">
                  <c:v>1.0</c:v>
                </c:pt>
                <c:pt idx="111">
                  <c:v>1.0</c:v>
                </c:pt>
                <c:pt idx="112">
                  <c:v>1.066</c:v>
                </c:pt>
                <c:pt idx="113">
                  <c:v>1.0</c:v>
                </c:pt>
                <c:pt idx="114">
                  <c:v>1.0</c:v>
                </c:pt>
                <c:pt idx="115">
                  <c:v>1.066</c:v>
                </c:pt>
                <c:pt idx="116">
                  <c:v>1.0</c:v>
                </c:pt>
                <c:pt idx="117">
                  <c:v>1.0</c:v>
                </c:pt>
                <c:pt idx="118">
                  <c:v>1.066</c:v>
                </c:pt>
                <c:pt idx="119">
                  <c:v>6.039</c:v>
                </c:pt>
                <c:pt idx="120">
                  <c:v>7.744</c:v>
                </c:pt>
                <c:pt idx="121">
                  <c:v>3.197</c:v>
                </c:pt>
                <c:pt idx="122">
                  <c:v>1.066</c:v>
                </c:pt>
                <c:pt idx="123">
                  <c:v>1.0</c:v>
                </c:pt>
                <c:pt idx="124">
                  <c:v>1.0</c:v>
                </c:pt>
                <c:pt idx="125">
                  <c:v>1.0</c:v>
                </c:pt>
                <c:pt idx="126">
                  <c:v>1.0</c:v>
                </c:pt>
                <c:pt idx="127">
                  <c:v>1.066</c:v>
                </c:pt>
                <c:pt idx="128">
                  <c:v>1.421</c:v>
                </c:pt>
                <c:pt idx="129">
                  <c:v>1.0</c:v>
                </c:pt>
                <c:pt idx="130">
                  <c:v>1.0</c:v>
                </c:pt>
                <c:pt idx="131">
                  <c:v>1.0</c:v>
                </c:pt>
                <c:pt idx="132">
                  <c:v>1.0</c:v>
                </c:pt>
                <c:pt idx="133">
                  <c:v>1.0</c:v>
                </c:pt>
                <c:pt idx="134">
                  <c:v>1.0</c:v>
                </c:pt>
                <c:pt idx="135">
                  <c:v>1.0</c:v>
                </c:pt>
                <c:pt idx="136">
                  <c:v>1.0</c:v>
                </c:pt>
                <c:pt idx="137">
                  <c:v>1.0</c:v>
                </c:pt>
                <c:pt idx="138">
                  <c:v>1.0</c:v>
                </c:pt>
                <c:pt idx="139">
                  <c:v>1.0</c:v>
                </c:pt>
                <c:pt idx="140">
                  <c:v>1.0</c:v>
                </c:pt>
                <c:pt idx="141">
                  <c:v>1.0</c:v>
                </c:pt>
                <c:pt idx="142">
                  <c:v>1.0</c:v>
                </c:pt>
                <c:pt idx="143">
                  <c:v>1.0</c:v>
                </c:pt>
                <c:pt idx="144">
                  <c:v>1.0</c:v>
                </c:pt>
                <c:pt idx="145">
                  <c:v>1.0</c:v>
                </c:pt>
                <c:pt idx="146">
                  <c:v>1.0</c:v>
                </c:pt>
                <c:pt idx="147">
                  <c:v>1.0</c:v>
                </c:pt>
                <c:pt idx="148">
                  <c:v>1.0</c:v>
                </c:pt>
                <c:pt idx="149">
                  <c:v>1.066</c:v>
                </c:pt>
                <c:pt idx="150">
                  <c:v>1.421</c:v>
                </c:pt>
                <c:pt idx="151">
                  <c:v>1.421</c:v>
                </c:pt>
                <c:pt idx="152">
                  <c:v>1.0</c:v>
                </c:pt>
                <c:pt idx="153">
                  <c:v>1.0</c:v>
                </c:pt>
                <c:pt idx="154">
                  <c:v>1.0</c:v>
                </c:pt>
                <c:pt idx="155">
                  <c:v>1.066</c:v>
                </c:pt>
                <c:pt idx="156">
                  <c:v>1.421</c:v>
                </c:pt>
                <c:pt idx="157">
                  <c:v>1.776</c:v>
                </c:pt>
                <c:pt idx="158">
                  <c:v>1.066</c:v>
                </c:pt>
                <c:pt idx="159">
                  <c:v>1.776</c:v>
                </c:pt>
                <c:pt idx="160">
                  <c:v>1.776</c:v>
                </c:pt>
                <c:pt idx="161">
                  <c:v>1.066</c:v>
                </c:pt>
                <c:pt idx="162">
                  <c:v>1.0</c:v>
                </c:pt>
                <c:pt idx="163">
                  <c:v>1.0</c:v>
                </c:pt>
                <c:pt idx="164">
                  <c:v>1.0</c:v>
                </c:pt>
                <c:pt idx="165">
                  <c:v>1.0</c:v>
                </c:pt>
                <c:pt idx="166">
                  <c:v>1.0</c:v>
                </c:pt>
                <c:pt idx="167">
                  <c:v>1.0</c:v>
                </c:pt>
                <c:pt idx="168">
                  <c:v>1.0</c:v>
                </c:pt>
                <c:pt idx="169">
                  <c:v>1.0</c:v>
                </c:pt>
                <c:pt idx="170">
                  <c:v>1.0</c:v>
                </c:pt>
                <c:pt idx="171">
                  <c:v>1.0</c:v>
                </c:pt>
                <c:pt idx="172">
                  <c:v>1.0</c:v>
                </c:pt>
                <c:pt idx="173">
                  <c:v>1.0</c:v>
                </c:pt>
                <c:pt idx="174">
                  <c:v>1.0</c:v>
                </c:pt>
                <c:pt idx="175">
                  <c:v>1.0</c:v>
                </c:pt>
                <c:pt idx="176">
                  <c:v>1.0</c:v>
                </c:pt>
                <c:pt idx="177">
                  <c:v>1.0</c:v>
                </c:pt>
                <c:pt idx="178">
                  <c:v>1.0</c:v>
                </c:pt>
                <c:pt idx="179">
                  <c:v>1.0</c:v>
                </c:pt>
                <c:pt idx="180">
                  <c:v>1.0</c:v>
                </c:pt>
                <c:pt idx="181">
                  <c:v>1.0</c:v>
                </c:pt>
                <c:pt idx="182">
                  <c:v>1.0</c:v>
                </c:pt>
                <c:pt idx="183">
                  <c:v>1.0</c:v>
                </c:pt>
                <c:pt idx="184">
                  <c:v>1.0</c:v>
                </c:pt>
                <c:pt idx="185">
                  <c:v>1.0</c:v>
                </c:pt>
                <c:pt idx="186">
                  <c:v>1.0</c:v>
                </c:pt>
                <c:pt idx="187">
                  <c:v>1.0</c:v>
                </c:pt>
                <c:pt idx="188">
                  <c:v>1.0</c:v>
                </c:pt>
                <c:pt idx="189">
                  <c:v>1.0</c:v>
                </c:pt>
              </c:numCache>
            </c:numRef>
          </c:val>
          <c:smooth val="0"/>
        </c:ser>
        <c:ser>
          <c:idx val="1"/>
          <c:order val="1"/>
          <c:tx>
            <c:strRef>
              <c:f>DATA!$AC$3</c:f>
              <c:strCache>
                <c:ptCount val="1"/>
                <c:pt idx="0">
                  <c:v>EffNO3    mg/L</c:v>
                </c:pt>
              </c:strCache>
            </c:strRef>
          </c:tx>
          <c:val>
            <c:numRef>
              <c:f>DATA!$AC$5:$AC$194</c:f>
              <c:numCache>
                <c:formatCode>General</c:formatCode>
                <c:ptCount val="190"/>
                <c:pt idx="0">
                  <c:v>12.5</c:v>
                </c:pt>
                <c:pt idx="1">
                  <c:v>12.1</c:v>
                </c:pt>
                <c:pt idx="2">
                  <c:v>12.5</c:v>
                </c:pt>
                <c:pt idx="3">
                  <c:v>12.1</c:v>
                </c:pt>
                <c:pt idx="4">
                  <c:v>12.4</c:v>
                </c:pt>
                <c:pt idx="5">
                  <c:v>12.5</c:v>
                </c:pt>
                <c:pt idx="6">
                  <c:v>12.6</c:v>
                </c:pt>
                <c:pt idx="7">
                  <c:v>12.2</c:v>
                </c:pt>
                <c:pt idx="8">
                  <c:v>12.4</c:v>
                </c:pt>
                <c:pt idx="9">
                  <c:v>12.7</c:v>
                </c:pt>
                <c:pt idx="10">
                  <c:v>13.3</c:v>
                </c:pt>
                <c:pt idx="11">
                  <c:v>12.3</c:v>
                </c:pt>
                <c:pt idx="12">
                  <c:v>12.7</c:v>
                </c:pt>
                <c:pt idx="13">
                  <c:v>9.26</c:v>
                </c:pt>
                <c:pt idx="14">
                  <c:v>13.3</c:v>
                </c:pt>
                <c:pt idx="15">
                  <c:v>12.2</c:v>
                </c:pt>
                <c:pt idx="16">
                  <c:v>12.7</c:v>
                </c:pt>
                <c:pt idx="17">
                  <c:v>12.9</c:v>
                </c:pt>
                <c:pt idx="18">
                  <c:v>12.9</c:v>
                </c:pt>
                <c:pt idx="19">
                  <c:v>12.9</c:v>
                </c:pt>
                <c:pt idx="20">
                  <c:v>13.1</c:v>
                </c:pt>
                <c:pt idx="21">
                  <c:v>12.8</c:v>
                </c:pt>
                <c:pt idx="22">
                  <c:v>12.4</c:v>
                </c:pt>
                <c:pt idx="23">
                  <c:v>12.3</c:v>
                </c:pt>
                <c:pt idx="24">
                  <c:v>12.2</c:v>
                </c:pt>
                <c:pt idx="25">
                  <c:v>12.6</c:v>
                </c:pt>
                <c:pt idx="26">
                  <c:v>13.6</c:v>
                </c:pt>
                <c:pt idx="27">
                  <c:v>13.4</c:v>
                </c:pt>
                <c:pt idx="28">
                  <c:v>14.2</c:v>
                </c:pt>
                <c:pt idx="29">
                  <c:v>13.3</c:v>
                </c:pt>
                <c:pt idx="30">
                  <c:v>13.7</c:v>
                </c:pt>
                <c:pt idx="31">
                  <c:v>13.0</c:v>
                </c:pt>
                <c:pt idx="32">
                  <c:v>13.1</c:v>
                </c:pt>
                <c:pt idx="33">
                  <c:v>12.9</c:v>
                </c:pt>
                <c:pt idx="34">
                  <c:v>12.9</c:v>
                </c:pt>
                <c:pt idx="35">
                  <c:v>12.8</c:v>
                </c:pt>
                <c:pt idx="36">
                  <c:v>12.7</c:v>
                </c:pt>
                <c:pt idx="37">
                  <c:v>12.8</c:v>
                </c:pt>
                <c:pt idx="38">
                  <c:v>12.5</c:v>
                </c:pt>
                <c:pt idx="39">
                  <c:v>12.9</c:v>
                </c:pt>
                <c:pt idx="40">
                  <c:v>12.5</c:v>
                </c:pt>
                <c:pt idx="41">
                  <c:v>13.5</c:v>
                </c:pt>
                <c:pt idx="42">
                  <c:v>13.6</c:v>
                </c:pt>
                <c:pt idx="43">
                  <c:v>13.3</c:v>
                </c:pt>
                <c:pt idx="44">
                  <c:v>12.4</c:v>
                </c:pt>
                <c:pt idx="45">
                  <c:v>13.0</c:v>
                </c:pt>
                <c:pt idx="46">
                  <c:v>13.3</c:v>
                </c:pt>
                <c:pt idx="47">
                  <c:v>13.9</c:v>
                </c:pt>
                <c:pt idx="48">
                  <c:v>14.0</c:v>
                </c:pt>
                <c:pt idx="49">
                  <c:v>13.3</c:v>
                </c:pt>
                <c:pt idx="50">
                  <c:v>13.1</c:v>
                </c:pt>
                <c:pt idx="51">
                  <c:v>13.1</c:v>
                </c:pt>
                <c:pt idx="52">
                  <c:v>12.7</c:v>
                </c:pt>
                <c:pt idx="53">
                  <c:v>13.4</c:v>
                </c:pt>
                <c:pt idx="54">
                  <c:v>13.4</c:v>
                </c:pt>
                <c:pt idx="55">
                  <c:v>15.1</c:v>
                </c:pt>
                <c:pt idx="56">
                  <c:v>13.3</c:v>
                </c:pt>
                <c:pt idx="57">
                  <c:v>12.2</c:v>
                </c:pt>
                <c:pt idx="58">
                  <c:v>12.5</c:v>
                </c:pt>
                <c:pt idx="59">
                  <c:v>13.1</c:v>
                </c:pt>
                <c:pt idx="60">
                  <c:v>13.6</c:v>
                </c:pt>
                <c:pt idx="61">
                  <c:v>10.2</c:v>
                </c:pt>
                <c:pt idx="62">
                  <c:v>12.7</c:v>
                </c:pt>
                <c:pt idx="63">
                  <c:v>12.6</c:v>
                </c:pt>
                <c:pt idx="64">
                  <c:v>12.8</c:v>
                </c:pt>
                <c:pt idx="65">
                  <c:v>12.8</c:v>
                </c:pt>
                <c:pt idx="66">
                  <c:v>13.6</c:v>
                </c:pt>
                <c:pt idx="67">
                  <c:v>13.9</c:v>
                </c:pt>
                <c:pt idx="68">
                  <c:v>13.6</c:v>
                </c:pt>
                <c:pt idx="69">
                  <c:v>12.5</c:v>
                </c:pt>
                <c:pt idx="70">
                  <c:v>11.8</c:v>
                </c:pt>
                <c:pt idx="71">
                  <c:v>11.9</c:v>
                </c:pt>
                <c:pt idx="72">
                  <c:v>12.4</c:v>
                </c:pt>
                <c:pt idx="73">
                  <c:v>13.7</c:v>
                </c:pt>
                <c:pt idx="74">
                  <c:v>13.4</c:v>
                </c:pt>
                <c:pt idx="75">
                  <c:v>13.7</c:v>
                </c:pt>
                <c:pt idx="76">
                  <c:v>13.1</c:v>
                </c:pt>
                <c:pt idx="77">
                  <c:v>12.8</c:v>
                </c:pt>
                <c:pt idx="78">
                  <c:v>11.9</c:v>
                </c:pt>
                <c:pt idx="79">
                  <c:v>12.1</c:v>
                </c:pt>
                <c:pt idx="80">
                  <c:v>14.5</c:v>
                </c:pt>
                <c:pt idx="81">
                  <c:v>14.2</c:v>
                </c:pt>
                <c:pt idx="82">
                  <c:v>14.4</c:v>
                </c:pt>
                <c:pt idx="83">
                  <c:v>14.0</c:v>
                </c:pt>
                <c:pt idx="84">
                  <c:v>14.8</c:v>
                </c:pt>
                <c:pt idx="85">
                  <c:v>12.2</c:v>
                </c:pt>
                <c:pt idx="86">
                  <c:v>13.5</c:v>
                </c:pt>
                <c:pt idx="87">
                  <c:v>15.1</c:v>
                </c:pt>
                <c:pt idx="88">
                  <c:v>14.8</c:v>
                </c:pt>
                <c:pt idx="89">
                  <c:v>14.8</c:v>
                </c:pt>
                <c:pt idx="90">
                  <c:v>14.3</c:v>
                </c:pt>
                <c:pt idx="91">
                  <c:v>13.8</c:v>
                </c:pt>
                <c:pt idx="92">
                  <c:v>13.7</c:v>
                </c:pt>
                <c:pt idx="93">
                  <c:v>15.1</c:v>
                </c:pt>
                <c:pt idx="94">
                  <c:v>15.8</c:v>
                </c:pt>
                <c:pt idx="95">
                  <c:v>15.7</c:v>
                </c:pt>
                <c:pt idx="96">
                  <c:v>15.1</c:v>
                </c:pt>
                <c:pt idx="97">
                  <c:v>14.4</c:v>
                </c:pt>
                <c:pt idx="98">
                  <c:v>16.6</c:v>
                </c:pt>
                <c:pt idx="99">
                  <c:v>14.9</c:v>
                </c:pt>
                <c:pt idx="100">
                  <c:v>15.0</c:v>
                </c:pt>
                <c:pt idx="101">
                  <c:v>14.5</c:v>
                </c:pt>
                <c:pt idx="102">
                  <c:v>14.3</c:v>
                </c:pt>
                <c:pt idx="103">
                  <c:v>14.8</c:v>
                </c:pt>
                <c:pt idx="104">
                  <c:v>15.7</c:v>
                </c:pt>
                <c:pt idx="105">
                  <c:v>14.6</c:v>
                </c:pt>
                <c:pt idx="106">
                  <c:v>14.6</c:v>
                </c:pt>
                <c:pt idx="107">
                  <c:v>13.9</c:v>
                </c:pt>
                <c:pt idx="108">
                  <c:v>13.3</c:v>
                </c:pt>
                <c:pt idx="109">
                  <c:v>14.2</c:v>
                </c:pt>
                <c:pt idx="110">
                  <c:v>14.9</c:v>
                </c:pt>
                <c:pt idx="111">
                  <c:v>12.2</c:v>
                </c:pt>
                <c:pt idx="112">
                  <c:v>10.4</c:v>
                </c:pt>
                <c:pt idx="113">
                  <c:v>9.44</c:v>
                </c:pt>
                <c:pt idx="114">
                  <c:v>9.54</c:v>
                </c:pt>
                <c:pt idx="115">
                  <c:v>11.4</c:v>
                </c:pt>
                <c:pt idx="116">
                  <c:v>13.1</c:v>
                </c:pt>
                <c:pt idx="117">
                  <c:v>14.1</c:v>
                </c:pt>
                <c:pt idx="118">
                  <c:v>12.8</c:v>
                </c:pt>
                <c:pt idx="119">
                  <c:v>10.4</c:v>
                </c:pt>
                <c:pt idx="120">
                  <c:v>9.76</c:v>
                </c:pt>
                <c:pt idx="121">
                  <c:v>10.7</c:v>
                </c:pt>
                <c:pt idx="122">
                  <c:v>10.4</c:v>
                </c:pt>
                <c:pt idx="123">
                  <c:v>11.4</c:v>
                </c:pt>
                <c:pt idx="124">
                  <c:v>13.0</c:v>
                </c:pt>
                <c:pt idx="125">
                  <c:v>12.7</c:v>
                </c:pt>
                <c:pt idx="126">
                  <c:v>12.9</c:v>
                </c:pt>
                <c:pt idx="127">
                  <c:v>12.3</c:v>
                </c:pt>
                <c:pt idx="128">
                  <c:v>10.8</c:v>
                </c:pt>
                <c:pt idx="129">
                  <c:v>12.1</c:v>
                </c:pt>
                <c:pt idx="130">
                  <c:v>13.1</c:v>
                </c:pt>
                <c:pt idx="131">
                  <c:v>13.5</c:v>
                </c:pt>
                <c:pt idx="132">
                  <c:v>14.0</c:v>
                </c:pt>
                <c:pt idx="133">
                  <c:v>15.0</c:v>
                </c:pt>
                <c:pt idx="134">
                  <c:v>15.2</c:v>
                </c:pt>
                <c:pt idx="135">
                  <c:v>14.8</c:v>
                </c:pt>
                <c:pt idx="136">
                  <c:v>13.9</c:v>
                </c:pt>
                <c:pt idx="137">
                  <c:v>14.5</c:v>
                </c:pt>
                <c:pt idx="138">
                  <c:v>15.2</c:v>
                </c:pt>
                <c:pt idx="139">
                  <c:v>15.3</c:v>
                </c:pt>
                <c:pt idx="140">
                  <c:v>15.4</c:v>
                </c:pt>
                <c:pt idx="141">
                  <c:v>15.6</c:v>
                </c:pt>
                <c:pt idx="142">
                  <c:v>14.7</c:v>
                </c:pt>
                <c:pt idx="143">
                  <c:v>13.7</c:v>
                </c:pt>
                <c:pt idx="144">
                  <c:v>14.1</c:v>
                </c:pt>
                <c:pt idx="145">
                  <c:v>14.5</c:v>
                </c:pt>
                <c:pt idx="146">
                  <c:v>13.5</c:v>
                </c:pt>
                <c:pt idx="147">
                  <c:v>12.7</c:v>
                </c:pt>
                <c:pt idx="148">
                  <c:v>13.6</c:v>
                </c:pt>
                <c:pt idx="149">
                  <c:v>13.8</c:v>
                </c:pt>
                <c:pt idx="150">
                  <c:v>10.6</c:v>
                </c:pt>
                <c:pt idx="151">
                  <c:v>10.4</c:v>
                </c:pt>
                <c:pt idx="152">
                  <c:v>13.2</c:v>
                </c:pt>
                <c:pt idx="153">
                  <c:v>13.1</c:v>
                </c:pt>
                <c:pt idx="154">
                  <c:v>13.0</c:v>
                </c:pt>
                <c:pt idx="155">
                  <c:v>13.9</c:v>
                </c:pt>
                <c:pt idx="156">
                  <c:v>12.3</c:v>
                </c:pt>
                <c:pt idx="157">
                  <c:v>11.8</c:v>
                </c:pt>
                <c:pt idx="158">
                  <c:v>11.9</c:v>
                </c:pt>
                <c:pt idx="159">
                  <c:v>10.4</c:v>
                </c:pt>
                <c:pt idx="160">
                  <c:v>10.5</c:v>
                </c:pt>
                <c:pt idx="161">
                  <c:v>10.8</c:v>
                </c:pt>
                <c:pt idx="162">
                  <c:v>12.2</c:v>
                </c:pt>
                <c:pt idx="163">
                  <c:v>13.2</c:v>
                </c:pt>
                <c:pt idx="164">
                  <c:v>12.6</c:v>
                </c:pt>
                <c:pt idx="165">
                  <c:v>12.7</c:v>
                </c:pt>
                <c:pt idx="166">
                  <c:v>12.8</c:v>
                </c:pt>
                <c:pt idx="167">
                  <c:v>11.7</c:v>
                </c:pt>
                <c:pt idx="168">
                  <c:v>12.2</c:v>
                </c:pt>
                <c:pt idx="169">
                  <c:v>13.3</c:v>
                </c:pt>
                <c:pt idx="170">
                  <c:v>13.4</c:v>
                </c:pt>
                <c:pt idx="171">
                  <c:v>13.1</c:v>
                </c:pt>
                <c:pt idx="172">
                  <c:v>12.9</c:v>
                </c:pt>
                <c:pt idx="173">
                  <c:v>12.1</c:v>
                </c:pt>
                <c:pt idx="174">
                  <c:v>12.5</c:v>
                </c:pt>
                <c:pt idx="175">
                  <c:v>12.6</c:v>
                </c:pt>
                <c:pt idx="176">
                  <c:v>13.1</c:v>
                </c:pt>
                <c:pt idx="177">
                  <c:v>13.1</c:v>
                </c:pt>
                <c:pt idx="178">
                  <c:v>12.3</c:v>
                </c:pt>
                <c:pt idx="179">
                  <c:v>12.0</c:v>
                </c:pt>
                <c:pt idx="180">
                  <c:v>11.4</c:v>
                </c:pt>
                <c:pt idx="181">
                  <c:v>11.6</c:v>
                </c:pt>
                <c:pt idx="182">
                  <c:v>12.6</c:v>
                </c:pt>
                <c:pt idx="183">
                  <c:v>12.8</c:v>
                </c:pt>
                <c:pt idx="184">
                  <c:v>12.9</c:v>
                </c:pt>
                <c:pt idx="185">
                  <c:v>12.0</c:v>
                </c:pt>
                <c:pt idx="186">
                  <c:v>12.2</c:v>
                </c:pt>
                <c:pt idx="187">
                  <c:v>12.4</c:v>
                </c:pt>
                <c:pt idx="188">
                  <c:v>12.0</c:v>
                </c:pt>
                <c:pt idx="189">
                  <c:v>12.8</c:v>
                </c:pt>
              </c:numCache>
            </c:numRef>
          </c:val>
          <c:smooth val="0"/>
        </c:ser>
        <c:dLbls>
          <c:showLegendKey val="0"/>
          <c:showVal val="0"/>
          <c:showCatName val="0"/>
          <c:showSerName val="0"/>
          <c:showPercent val="0"/>
          <c:showBubbleSize val="0"/>
        </c:dLbls>
        <c:marker val="1"/>
        <c:smooth val="0"/>
        <c:axId val="726371256"/>
        <c:axId val="726374264"/>
      </c:lineChart>
      <c:catAx>
        <c:axId val="726371256"/>
        <c:scaling>
          <c:orientation val="minMax"/>
        </c:scaling>
        <c:delete val="0"/>
        <c:axPos val="b"/>
        <c:majorTickMark val="out"/>
        <c:minorTickMark val="none"/>
        <c:tickLblPos val="nextTo"/>
        <c:txPr>
          <a:bodyPr/>
          <a:lstStyle/>
          <a:p>
            <a:pPr>
              <a:defRPr sz="1200"/>
            </a:pPr>
            <a:endParaRPr lang="en-US"/>
          </a:p>
        </c:txPr>
        <c:crossAx val="726374264"/>
        <c:crosses val="autoZero"/>
        <c:auto val="1"/>
        <c:lblAlgn val="ctr"/>
        <c:lblOffset val="100"/>
        <c:tickLblSkip val="15"/>
        <c:noMultiLvlLbl val="0"/>
      </c:catAx>
      <c:valAx>
        <c:axId val="726374264"/>
        <c:scaling>
          <c:orientation val="minMax"/>
        </c:scaling>
        <c:delete val="0"/>
        <c:axPos val="l"/>
        <c:majorGridlines/>
        <c:title>
          <c:tx>
            <c:rich>
              <a:bodyPr rot="-5400000" vert="horz"/>
              <a:lstStyle/>
              <a:p>
                <a:pPr>
                  <a:defRPr/>
                </a:pPr>
                <a:r>
                  <a:rPr lang="en-US"/>
                  <a:t>Effluent NH4-</a:t>
                </a:r>
                <a:r>
                  <a:rPr lang="en-US" baseline="0"/>
                  <a:t> and NO3-N (mg/l)</a:t>
                </a:r>
                <a:endParaRPr lang="en-US"/>
              </a:p>
            </c:rich>
          </c:tx>
          <c:layout/>
          <c:overlay val="0"/>
        </c:title>
        <c:numFmt formatCode="General" sourceLinked="1"/>
        <c:majorTickMark val="out"/>
        <c:minorTickMark val="none"/>
        <c:tickLblPos val="nextTo"/>
        <c:txPr>
          <a:bodyPr/>
          <a:lstStyle/>
          <a:p>
            <a:pPr>
              <a:defRPr sz="1200"/>
            </a:pPr>
            <a:endParaRPr lang="en-US"/>
          </a:p>
        </c:txPr>
        <c:crossAx val="726371256"/>
        <c:crosses val="autoZero"/>
        <c:crossBetween val="between"/>
      </c:valAx>
    </c:plotArea>
    <c:legend>
      <c:legendPos val="r"/>
      <c:layout>
        <c:manualLayout>
          <c:xMode val="edge"/>
          <c:yMode val="edge"/>
          <c:x val="0.117896751759533"/>
          <c:y val="0.591878414900961"/>
          <c:w val="0.275787401574803"/>
          <c:h val="0.192039246349674"/>
        </c:manualLayout>
      </c:layout>
      <c:overlay val="0"/>
      <c:txPr>
        <a:bodyPr/>
        <a:lstStyle/>
        <a:p>
          <a:pPr>
            <a:defRPr sz="1200"/>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7</Pages>
  <Words>1556</Words>
  <Characters>8871</Characters>
  <Application>Microsoft Macintosh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10407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silverstein</dc:creator>
  <cp:keywords/>
  <dc:description/>
  <cp:lastModifiedBy>joann silverstein</cp:lastModifiedBy>
  <cp:revision>17</cp:revision>
  <dcterms:created xsi:type="dcterms:W3CDTF">2011-09-12T23:42:00Z</dcterms:created>
  <dcterms:modified xsi:type="dcterms:W3CDTF">2011-09-13T01:33:00Z</dcterms:modified>
</cp:coreProperties>
</file>